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A87C82" w:rsidRDefault="00A87C82" w14:paraId="00000001" w14:textId="77777777">
      <w:pPr>
        <w:jc w:val="center"/>
        <w:rPr>
          <w:rFonts w:ascii="Verdana" w:hAnsi="Verdana" w:eastAsia="Verdana" w:cs="Verdana"/>
        </w:rPr>
      </w:pPr>
    </w:p>
    <w:p w:rsidR="00A87C82" w:rsidRDefault="00BF7331" w14:paraId="00000002" w14:textId="77777777">
      <w:pPr>
        <w:pBdr>
          <w:top w:val="nil"/>
          <w:left w:val="nil"/>
          <w:bottom w:val="nil"/>
          <w:right w:val="nil"/>
          <w:between w:val="nil"/>
        </w:pBdr>
        <w:spacing w:line="240" w:lineRule="auto"/>
        <w:rPr>
          <w:rFonts w:ascii="Times New Roman" w:hAnsi="Times New Roman" w:eastAsia="Times New Roman" w:cs="Times New Roman"/>
          <w:color w:val="000000"/>
          <w:sz w:val="24"/>
          <w:szCs w:val="24"/>
        </w:rPr>
      </w:pPr>
      <w:r>
        <w:rPr>
          <w:rFonts w:ascii="Verdana" w:hAnsi="Verdana" w:eastAsia="Verdana" w:cs="Verdana"/>
          <w:b/>
          <w:bCs/>
          <w:color w:val="000000"/>
          <w:sz w:val="16"/>
          <w:szCs w:val="16"/>
        </w:rPr>
        <w:t>Información de prensa</w:t>
      </w:r>
      <w:r>
        <w:rPr>
          <w:noProof/>
        </w:rPr>
        <w:drawing>
          <wp:anchor distT="0" distB="0" distL="114300" distR="114300" simplePos="0" relativeHeight="251658240" behindDoc="0" locked="0" layoutInCell="1" hidden="0" allowOverlap="1" wp14:anchorId="70339F53" wp14:editId="07777777">
            <wp:simplePos x="0" y="0"/>
            <wp:positionH relativeFrom="column">
              <wp:posOffset>5114925</wp:posOffset>
            </wp:positionH>
            <wp:positionV relativeFrom="paragraph">
              <wp:posOffset>101253</wp:posOffset>
            </wp:positionV>
            <wp:extent cx="643792" cy="633787"/>
            <wp:effectExtent l="39634" t="40350" r="39634" b="40350"/>
            <wp:wrapNone/>
            <wp:docPr id="8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rot="462979">
                      <a:off x="0" y="0"/>
                      <a:ext cx="643792" cy="633787"/>
                    </a:xfrm>
                    <a:prstGeom prst="rect">
                      <a:avLst/>
                    </a:prstGeom>
                    <a:ln/>
                  </pic:spPr>
                </pic:pic>
              </a:graphicData>
            </a:graphic>
          </wp:anchor>
        </w:drawing>
      </w:r>
    </w:p>
    <w:p w:rsidR="00A87C82" w:rsidRDefault="00BF7331" w14:paraId="00000003" w14:textId="77777777">
      <w:pPr>
        <w:pBdr>
          <w:top w:val="nil"/>
          <w:left w:val="nil"/>
          <w:bottom w:val="nil"/>
          <w:right w:val="nil"/>
          <w:between w:val="nil"/>
        </w:pBdr>
        <w:spacing w:line="240" w:lineRule="auto"/>
        <w:rPr>
          <w:rFonts w:ascii="Verdana" w:hAnsi="Verdana" w:eastAsia="Verdana" w:cs="Verdana"/>
          <w:sz w:val="16"/>
          <w:szCs w:val="16"/>
        </w:rPr>
      </w:pPr>
      <w:r>
        <w:rPr>
          <w:rFonts w:ascii="Verdana" w:hAnsi="Verdana" w:eastAsia="Verdana" w:cs="Verdana"/>
          <w:sz w:val="16"/>
          <w:szCs w:val="16"/>
        </w:rPr>
        <w:t>Buenos Aires, enero de 2026</w:t>
      </w:r>
    </w:p>
    <w:p w:rsidR="00A87C82" w:rsidRDefault="00A87C82" w14:paraId="00000004" w14:textId="77777777">
      <w:pPr>
        <w:pBdr>
          <w:top w:val="nil"/>
          <w:left w:val="nil"/>
          <w:bottom w:val="nil"/>
          <w:right w:val="nil"/>
          <w:between w:val="nil"/>
        </w:pBdr>
        <w:spacing w:line="240" w:lineRule="auto"/>
        <w:rPr>
          <w:rFonts w:ascii="Verdana" w:hAnsi="Verdana" w:eastAsia="Verdana" w:cs="Verdana"/>
          <w:sz w:val="16"/>
          <w:szCs w:val="16"/>
        </w:rPr>
      </w:pPr>
    </w:p>
    <w:p w:rsidR="00A87C82" w:rsidRDefault="00A87C82" w14:paraId="00000005" w14:textId="77777777">
      <w:pPr>
        <w:pBdr>
          <w:top w:val="nil"/>
          <w:left w:val="nil"/>
          <w:bottom w:val="nil"/>
          <w:right w:val="nil"/>
          <w:between w:val="nil"/>
        </w:pBdr>
        <w:spacing w:line="240" w:lineRule="auto"/>
        <w:rPr>
          <w:rFonts w:ascii="Verdana" w:hAnsi="Verdana" w:eastAsia="Verdana" w:cs="Verdana"/>
          <w:sz w:val="26"/>
          <w:szCs w:val="26"/>
        </w:rPr>
      </w:pPr>
    </w:p>
    <w:p w:rsidR="00A87C82" w:rsidP="32FCC0DE" w:rsidRDefault="00BF7331" w14:paraId="52FE4C79" w14:textId="60A84E17">
      <w:pPr>
        <w:spacing w:after="0"/>
        <w:jc w:val="center"/>
        <w:rPr>
          <w:rFonts w:ascii="Verdana" w:hAnsi="Verdana" w:eastAsia="Verdana" w:cs="Verdana"/>
          <w:b w:val="1"/>
          <w:bCs w:val="1"/>
          <w:sz w:val="34"/>
          <w:szCs w:val="34"/>
        </w:rPr>
      </w:pPr>
      <w:r w:rsidRPr="32FCC0DE" w:rsidR="00BF7331">
        <w:rPr>
          <w:rFonts w:ascii="Verdana" w:hAnsi="Verdana" w:eastAsia="Verdana" w:cs="Verdana"/>
          <w:b w:val="1"/>
          <w:bCs w:val="1"/>
          <w:sz w:val="34"/>
          <w:szCs w:val="34"/>
        </w:rPr>
        <w:t xml:space="preserve">¿Cuánto ganan los puestos </w:t>
      </w:r>
      <w:r w:rsidRPr="32FCC0DE" w:rsidR="4E256F67">
        <w:rPr>
          <w:rFonts w:ascii="Verdana" w:hAnsi="Verdana" w:eastAsia="Verdana" w:cs="Verdana"/>
          <w:b w:val="1"/>
          <w:bCs w:val="1"/>
          <w:sz w:val="34"/>
          <w:szCs w:val="34"/>
        </w:rPr>
        <w:t>de mayor jerarquía</w:t>
      </w:r>
      <w:r w:rsidRPr="32FCC0DE" w:rsidR="00BF7331">
        <w:rPr>
          <w:rFonts w:ascii="Verdana" w:hAnsi="Verdana" w:eastAsia="Verdana" w:cs="Verdana"/>
          <w:b w:val="1"/>
          <w:bCs w:val="1"/>
          <w:sz w:val="34"/>
          <w:szCs w:val="34"/>
        </w:rPr>
        <w:t xml:space="preserve"> de cada industria en Argentina?</w:t>
      </w:r>
      <w:r>
        <w:br/>
      </w:r>
    </w:p>
    <w:p w:rsidR="00A87C82" w:rsidP="32FCC0DE" w:rsidRDefault="00BF7331" w14:paraId="00000007" w14:textId="77A46A86">
      <w:pPr>
        <w:spacing w:after="0"/>
        <w:jc w:val="center"/>
        <w:rPr>
          <w:rFonts w:ascii="Verdana" w:hAnsi="Verdana" w:eastAsia="Verdana" w:cs="Verdana"/>
          <w:i w:val="1"/>
          <w:iCs w:val="1"/>
        </w:rPr>
      </w:pPr>
      <w:r w:rsidRPr="32FCC0DE" w:rsidR="00BF7331">
        <w:rPr>
          <w:rFonts w:ascii="Verdana" w:hAnsi="Verdana" w:eastAsia="Verdana" w:cs="Verdana"/>
          <w:i w:val="1"/>
          <w:iCs w:val="1"/>
        </w:rPr>
        <w:t>Las posiciones de Alta Dirección concentran los salarios más altos del mercado, con fuertes diferencias según la industria, el tamaño de la empresa y su ubicación geográfica.</w:t>
      </w:r>
    </w:p>
    <w:p w:rsidR="00A87C82" w:rsidRDefault="00BF7331" w14:paraId="00000008" w14:textId="77777777">
      <w:pPr>
        <w:spacing w:after="0"/>
        <w:jc w:val="center"/>
        <w:rPr>
          <w:rFonts w:ascii="Verdana" w:hAnsi="Verdana" w:eastAsia="Verdana" w:cs="Verdana"/>
          <w:i/>
          <w:iCs/>
        </w:rPr>
      </w:pPr>
      <w:r>
        <w:rPr>
          <w:noProof/>
        </w:rPr>
        <w:drawing>
          <wp:anchor distT="0" distB="0" distL="114300" distR="114300" simplePos="0" relativeHeight="251659264" behindDoc="0" locked="0" layoutInCell="1" hidden="0" allowOverlap="1" wp14:anchorId="1FDF4F5D" wp14:editId="07777777">
            <wp:simplePos x="0" y="0"/>
            <wp:positionH relativeFrom="column">
              <wp:posOffset>9</wp:posOffset>
            </wp:positionH>
            <wp:positionV relativeFrom="paragraph">
              <wp:posOffset>93929</wp:posOffset>
            </wp:positionV>
            <wp:extent cx="582930" cy="612775"/>
            <wp:effectExtent l="38498" t="36360" r="38498" b="36360"/>
            <wp:wrapNone/>
            <wp:docPr id="8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rot="462979">
                      <a:off x="0" y="0"/>
                      <a:ext cx="582930" cy="612775"/>
                    </a:xfrm>
                    <a:prstGeom prst="rect">
                      <a:avLst/>
                    </a:prstGeom>
                    <a:ln/>
                  </pic:spPr>
                </pic:pic>
              </a:graphicData>
            </a:graphic>
          </wp:anchor>
        </w:drawing>
      </w:r>
    </w:p>
    <w:p w:rsidR="00A87C82" w:rsidRDefault="00A87C82" w14:paraId="00000009" w14:textId="77777777">
      <w:pPr>
        <w:spacing w:after="0"/>
        <w:jc w:val="center"/>
        <w:rPr>
          <w:rFonts w:ascii="Verdana" w:hAnsi="Verdana" w:eastAsia="Verdana" w:cs="Verdana"/>
          <w:i/>
          <w:iCs/>
        </w:rPr>
      </w:pPr>
    </w:p>
    <w:p w:rsidR="00A87C82" w:rsidRDefault="00A87C82" w14:paraId="0000000A" w14:textId="77777777">
      <w:pPr>
        <w:spacing w:after="0"/>
        <w:jc w:val="center"/>
        <w:rPr>
          <w:rFonts w:ascii="Verdana" w:hAnsi="Verdana" w:eastAsia="Verdana" w:cs="Verdana"/>
          <w:i/>
          <w:iCs/>
        </w:rPr>
      </w:pPr>
    </w:p>
    <w:p w:rsidR="00A87C82" w:rsidRDefault="00A87C82" w14:paraId="0000000B" w14:textId="77777777">
      <w:pPr>
        <w:spacing w:after="0"/>
        <w:jc w:val="center"/>
        <w:rPr>
          <w:rFonts w:ascii="Verdana" w:hAnsi="Verdana" w:eastAsia="Verdana" w:cs="Verdana"/>
          <w:i/>
          <w:iCs/>
        </w:rPr>
      </w:pPr>
    </w:p>
    <w:p w:rsidR="00A87C82" w:rsidRDefault="00A87C82" w14:paraId="0000000C" w14:textId="77777777">
      <w:pPr>
        <w:spacing w:after="0" w:line="276" w:lineRule="auto"/>
        <w:rPr>
          <w:rFonts w:ascii="Verdana" w:hAnsi="Verdana" w:eastAsia="Verdana" w:cs="Verdana"/>
        </w:rPr>
      </w:pPr>
    </w:p>
    <w:p w:rsidR="00A87C82" w:rsidRDefault="00BF7331" w14:paraId="0000000D" w14:textId="693EED52">
      <w:pPr>
        <w:spacing w:before="240" w:after="240" w:line="276" w:lineRule="auto"/>
        <w:jc w:val="both"/>
        <w:rPr>
          <w:rFonts w:ascii="Verdana" w:hAnsi="Verdana" w:eastAsia="Verdana" w:cs="Verdana"/>
        </w:rPr>
      </w:pPr>
      <w:r w:rsidRPr="76396095" w:rsidR="00BF7331">
        <w:rPr>
          <w:rFonts w:ascii="Verdana" w:hAnsi="Verdana" w:eastAsia="Verdana" w:cs="Verdana"/>
        </w:rPr>
        <w:t xml:space="preserve">En un contexto de mayor previsibilidad macroeconómica, los salarios de los puestos fuera de convenio continúan siendo uno de los principales focos de análisis para las organizaciones. Dentro de este segmento, las posiciones de </w:t>
      </w:r>
      <w:r w:rsidRPr="76396095" w:rsidR="00BF7331">
        <w:rPr>
          <w:rFonts w:ascii="Verdana" w:hAnsi="Verdana" w:eastAsia="Verdana" w:cs="Verdana"/>
          <w:b w:val="1"/>
          <w:bCs w:val="1"/>
        </w:rPr>
        <w:t>mayor jerarquía</w:t>
      </w:r>
      <w:r w:rsidRPr="76396095" w:rsidR="00BF7331">
        <w:rPr>
          <w:rFonts w:ascii="Verdana" w:hAnsi="Verdana" w:eastAsia="Verdana" w:cs="Verdana"/>
        </w:rPr>
        <w:t xml:space="preserve"> —como Direcciones, Gerencias Generales y roles ejecutivo</w:t>
      </w:r>
      <w:r w:rsidRPr="76396095" w:rsidR="00BF7331">
        <w:rPr>
          <w:rFonts w:ascii="Verdana" w:hAnsi="Verdana" w:eastAsia="Verdana" w:cs="Verdana"/>
        </w:rPr>
        <w:t>s</w:t>
      </w:r>
      <w:r w:rsidRPr="76396095" w:rsidR="7E72CFCE">
        <w:rPr>
          <w:rFonts w:ascii="Verdana" w:hAnsi="Verdana" w:eastAsia="Verdana" w:cs="Verdana"/>
        </w:rPr>
        <w:t xml:space="preserve"> de máxima responsabilidad local</w:t>
      </w:r>
      <w:r w:rsidRPr="76396095" w:rsidR="291356AE">
        <w:rPr>
          <w:rFonts w:ascii="Verdana" w:hAnsi="Verdana" w:eastAsia="Verdana" w:cs="Verdana"/>
        </w:rPr>
        <w:t xml:space="preserve"> </w:t>
      </w:r>
      <w:r w:rsidRPr="76396095" w:rsidR="00BF7331">
        <w:rPr>
          <w:rFonts w:ascii="Verdana" w:hAnsi="Verdana" w:eastAsia="Verdana" w:cs="Verdana"/>
        </w:rPr>
        <w:t>— concentran las remuneraciones más elevadas, aunque con diferencias significativas entre industrias.</w:t>
      </w:r>
    </w:p>
    <w:p w:rsidR="00A87C82" w:rsidRDefault="00BF7331" w14:paraId="0000000E" w14:textId="77777777">
      <w:pPr>
        <w:spacing w:after="0" w:line="276" w:lineRule="auto"/>
        <w:jc w:val="both"/>
        <w:rPr>
          <w:rFonts w:ascii="Verdana" w:hAnsi="Verdana" w:eastAsia="Verdana" w:cs="Verdana"/>
          <w:b/>
          <w:bCs/>
        </w:rPr>
      </w:pPr>
      <w:r>
        <w:rPr>
          <w:rFonts w:ascii="Verdana" w:hAnsi="Verdana" w:eastAsia="Verdana" w:cs="Verdana"/>
          <w:b/>
          <w:bCs/>
        </w:rPr>
        <w:t>Alta Dirección: los salarios más altos según la industria</w:t>
      </w:r>
    </w:p>
    <w:p w:rsidR="00A87C82" w:rsidRDefault="00BF7331" w14:paraId="0000000F" w14:textId="7F0BE364">
      <w:pPr>
        <w:spacing w:before="240" w:after="240" w:line="276" w:lineRule="auto"/>
        <w:jc w:val="both"/>
        <w:rPr>
          <w:rFonts w:ascii="Verdana" w:hAnsi="Verdana" w:eastAsia="Verdana" w:cs="Verdana"/>
        </w:rPr>
      </w:pPr>
      <w:r w:rsidRPr="32FCC0DE" w:rsidR="00BF7331">
        <w:rPr>
          <w:rFonts w:ascii="Verdana" w:hAnsi="Verdana" w:eastAsia="Verdana" w:cs="Verdana"/>
        </w:rPr>
        <w:t>De acuerdo con la Guía Salarial 2025</w:t>
      </w:r>
      <w:r w:rsidRPr="32FCC0DE" w:rsidR="4CE7D0D4">
        <w:rPr>
          <w:rFonts w:ascii="Verdana" w:hAnsi="Verdana" w:eastAsia="Verdana" w:cs="Verdana"/>
        </w:rPr>
        <w:t>-2026 de Adecco Argentina</w:t>
      </w:r>
      <w:r w:rsidRPr="32FCC0DE" w:rsidR="00BF7331">
        <w:rPr>
          <w:rFonts w:ascii="Verdana" w:hAnsi="Verdana" w:eastAsia="Verdana" w:cs="Verdana"/>
        </w:rPr>
        <w:t xml:space="preserve">, los puestos de Alta Dirección se destacan como los mejor remunerados en todas las industrias relevadas. Sin embargo, </w:t>
      </w:r>
      <w:r w:rsidRPr="32FCC0DE" w:rsidR="00BF7331">
        <w:rPr>
          <w:rFonts w:ascii="Verdana" w:hAnsi="Verdana" w:eastAsia="Verdana" w:cs="Verdana"/>
          <w:b w:val="1"/>
          <w:bCs w:val="1"/>
        </w:rPr>
        <w:t>el nivel de compensación varía en función del sector de actividad, la complejidad operativa y la escala del negocio.</w:t>
      </w:r>
    </w:p>
    <w:p w:rsidR="00A87C82" w:rsidRDefault="00BF7331" w14:paraId="00000010" w14:textId="768427D5">
      <w:pPr>
        <w:spacing w:before="240" w:after="240" w:line="276" w:lineRule="auto"/>
        <w:jc w:val="both"/>
        <w:rPr>
          <w:rFonts w:ascii="Verdana" w:hAnsi="Verdana" w:eastAsia="Verdana" w:cs="Verdana"/>
        </w:rPr>
      </w:pPr>
      <w:r w:rsidRPr="32FCC0DE" w:rsidR="00BF7331">
        <w:rPr>
          <w:rFonts w:ascii="Verdana" w:hAnsi="Verdana" w:eastAsia="Verdana" w:cs="Verdana"/>
        </w:rPr>
        <w:t xml:space="preserve">Entre las </w:t>
      </w:r>
      <w:r w:rsidRPr="32FCC0DE" w:rsidR="00BF7331">
        <w:rPr>
          <w:rFonts w:ascii="Verdana" w:hAnsi="Verdana" w:eastAsia="Verdana" w:cs="Verdana"/>
          <w:b w:val="0"/>
          <w:bCs w:val="0"/>
        </w:rPr>
        <w:t xml:space="preserve">industrias </w:t>
      </w:r>
      <w:r w:rsidRPr="32FCC0DE" w:rsidR="2591DBA5">
        <w:rPr>
          <w:rFonts w:ascii="Verdana" w:hAnsi="Verdana" w:eastAsia="Verdana" w:cs="Verdana"/>
          <w:b w:val="0"/>
          <w:bCs w:val="0"/>
        </w:rPr>
        <w:t xml:space="preserve">analizadas por el </w:t>
      </w:r>
      <w:r w:rsidRPr="32FCC0DE" w:rsidR="2591DBA5">
        <w:rPr>
          <w:rFonts w:ascii="Verdana" w:hAnsi="Verdana" w:eastAsia="Verdana" w:cs="Verdana"/>
          <w:b w:val="0"/>
          <w:bCs w:val="0"/>
        </w:rPr>
        <w:t>infor</w:t>
      </w:r>
      <w:r w:rsidRPr="32FCC0DE" w:rsidR="2591DBA5">
        <w:rPr>
          <w:rFonts w:ascii="Verdana" w:hAnsi="Verdana" w:eastAsia="Verdana" w:cs="Verdana"/>
          <w:b w:val="0"/>
          <w:bCs w:val="0"/>
        </w:rPr>
        <w:t>me</w:t>
      </w:r>
      <w:r w:rsidRPr="32FCC0DE" w:rsidR="2591DBA5">
        <w:rPr>
          <w:rFonts w:ascii="Verdana" w:hAnsi="Verdana" w:eastAsia="Verdana" w:cs="Verdana"/>
          <w:b w:val="1"/>
          <w:bCs w:val="1"/>
        </w:rPr>
        <w:t xml:space="preserve"> </w:t>
      </w:r>
      <w:r w:rsidRPr="32FCC0DE" w:rsidR="00BF7331">
        <w:rPr>
          <w:rFonts w:ascii="Verdana" w:hAnsi="Verdana" w:eastAsia="Verdana" w:cs="Verdana"/>
        </w:rPr>
        <w:t xml:space="preserve">se encuentran </w:t>
      </w:r>
      <w:r w:rsidRPr="32FCC0DE" w:rsidR="00BF7331">
        <w:rPr>
          <w:rFonts w:ascii="Verdana" w:hAnsi="Verdana" w:eastAsia="Verdana" w:cs="Verdana"/>
          <w:b w:val="1"/>
          <w:bCs w:val="1"/>
        </w:rPr>
        <w:t>Oil</w:t>
      </w:r>
      <w:r w:rsidRPr="32FCC0DE" w:rsidR="00BF7331">
        <w:rPr>
          <w:rFonts w:ascii="Verdana" w:hAnsi="Verdana" w:eastAsia="Verdana" w:cs="Verdana"/>
          <w:b w:val="1"/>
          <w:bCs w:val="1"/>
        </w:rPr>
        <w:t xml:space="preserve"> &amp; Gas, </w:t>
      </w:r>
      <w:r w:rsidRPr="32FCC0DE" w:rsidR="00BF7331">
        <w:rPr>
          <w:rFonts w:ascii="Verdana" w:hAnsi="Verdana" w:eastAsia="Verdana" w:cs="Verdana"/>
          <w:b w:val="1"/>
          <w:bCs w:val="1"/>
        </w:rPr>
        <w:t>Mining</w:t>
      </w:r>
      <w:r w:rsidRPr="32FCC0DE" w:rsidR="00BF7331">
        <w:rPr>
          <w:rFonts w:ascii="Verdana" w:hAnsi="Verdana" w:eastAsia="Verdana" w:cs="Verdana"/>
          <w:b w:val="1"/>
          <w:bCs w:val="1"/>
        </w:rPr>
        <w:t xml:space="preserve">, IT, </w:t>
      </w:r>
      <w:r w:rsidRPr="32FCC0DE" w:rsidR="00BF7331">
        <w:rPr>
          <w:rFonts w:ascii="Verdana" w:hAnsi="Verdana" w:eastAsia="Verdana" w:cs="Verdana"/>
          <w:b w:val="1"/>
          <w:bCs w:val="1"/>
        </w:rPr>
        <w:t>Engineering</w:t>
      </w:r>
      <w:r w:rsidRPr="32FCC0DE" w:rsidR="00BF7331">
        <w:rPr>
          <w:rFonts w:ascii="Verdana" w:hAnsi="Verdana" w:eastAsia="Verdana" w:cs="Verdana"/>
          <w:b w:val="1"/>
          <w:bCs w:val="1"/>
        </w:rPr>
        <w:t xml:space="preserve"> &amp; </w:t>
      </w:r>
      <w:r w:rsidRPr="32FCC0DE" w:rsidR="00BF7331">
        <w:rPr>
          <w:rFonts w:ascii="Verdana" w:hAnsi="Verdana" w:eastAsia="Verdana" w:cs="Verdana"/>
          <w:b w:val="1"/>
          <w:bCs w:val="1"/>
        </w:rPr>
        <w:t>Production</w:t>
      </w:r>
      <w:r w:rsidRPr="32FCC0DE" w:rsidR="00BF7331">
        <w:rPr>
          <w:rFonts w:ascii="Verdana" w:hAnsi="Verdana" w:eastAsia="Verdana" w:cs="Verdana"/>
          <w:b w:val="1"/>
          <w:bCs w:val="1"/>
        </w:rPr>
        <w:t xml:space="preserve"> y </w:t>
      </w:r>
      <w:r w:rsidRPr="32FCC0DE" w:rsidR="00BF7331">
        <w:rPr>
          <w:rFonts w:ascii="Verdana" w:hAnsi="Verdana" w:eastAsia="Verdana" w:cs="Verdana"/>
          <w:b w:val="1"/>
          <w:bCs w:val="1"/>
        </w:rPr>
        <w:t>Finance</w:t>
      </w:r>
      <w:r w:rsidRPr="32FCC0DE" w:rsidR="00BF7331">
        <w:rPr>
          <w:rFonts w:ascii="Verdana" w:hAnsi="Verdana" w:eastAsia="Verdana" w:cs="Verdana"/>
        </w:rPr>
        <w:t xml:space="preserve">, seguidas por </w:t>
      </w:r>
      <w:r w:rsidRPr="32FCC0DE" w:rsidR="00BF7331">
        <w:rPr>
          <w:rFonts w:ascii="Verdana" w:hAnsi="Verdana" w:eastAsia="Verdana" w:cs="Verdana"/>
          <w:b w:val="1"/>
          <w:bCs w:val="1"/>
        </w:rPr>
        <w:t>Healthcare</w:t>
      </w:r>
      <w:r w:rsidRPr="32FCC0DE" w:rsidR="00BF7331">
        <w:rPr>
          <w:rFonts w:ascii="Verdana" w:hAnsi="Verdana" w:eastAsia="Verdana" w:cs="Verdana"/>
          <w:b w:val="1"/>
          <w:bCs w:val="1"/>
        </w:rPr>
        <w:t xml:space="preserve"> &amp; </w:t>
      </w:r>
      <w:r w:rsidRPr="32FCC0DE" w:rsidR="00BF7331">
        <w:rPr>
          <w:rFonts w:ascii="Verdana" w:hAnsi="Verdana" w:eastAsia="Verdana" w:cs="Verdana"/>
          <w:b w:val="1"/>
          <w:bCs w:val="1"/>
        </w:rPr>
        <w:t>Pharma</w:t>
      </w:r>
      <w:r w:rsidRPr="32FCC0DE" w:rsidR="00BF7331">
        <w:rPr>
          <w:rFonts w:ascii="Verdana" w:hAnsi="Verdana" w:eastAsia="Verdana" w:cs="Verdana"/>
          <w:b w:val="1"/>
          <w:bCs w:val="1"/>
        </w:rPr>
        <w:t xml:space="preserve">, </w:t>
      </w:r>
      <w:r w:rsidRPr="32FCC0DE" w:rsidR="00BF7331">
        <w:rPr>
          <w:rFonts w:ascii="Verdana" w:hAnsi="Verdana" w:eastAsia="Verdana" w:cs="Verdana"/>
          <w:b w:val="1"/>
          <w:bCs w:val="1"/>
        </w:rPr>
        <w:t>Supply</w:t>
      </w:r>
      <w:r w:rsidRPr="32FCC0DE" w:rsidR="00BF7331">
        <w:rPr>
          <w:rFonts w:ascii="Verdana" w:hAnsi="Verdana" w:eastAsia="Verdana" w:cs="Verdana"/>
          <w:b w:val="1"/>
          <w:bCs w:val="1"/>
        </w:rPr>
        <w:t xml:space="preserve"> </w:t>
      </w:r>
      <w:r w:rsidRPr="32FCC0DE" w:rsidR="00BF7331">
        <w:rPr>
          <w:rFonts w:ascii="Verdana" w:hAnsi="Verdana" w:eastAsia="Verdana" w:cs="Verdana"/>
          <w:b w:val="1"/>
          <w:bCs w:val="1"/>
        </w:rPr>
        <w:t>Chain</w:t>
      </w:r>
      <w:r w:rsidRPr="32FCC0DE" w:rsidR="00BF7331">
        <w:rPr>
          <w:rFonts w:ascii="Verdana" w:hAnsi="Verdana" w:eastAsia="Verdana" w:cs="Verdana"/>
          <w:b w:val="1"/>
          <w:bCs w:val="1"/>
        </w:rPr>
        <w:t xml:space="preserve"> &amp; </w:t>
      </w:r>
      <w:r w:rsidRPr="32FCC0DE" w:rsidR="00BF7331">
        <w:rPr>
          <w:rFonts w:ascii="Verdana" w:hAnsi="Verdana" w:eastAsia="Verdana" w:cs="Verdana"/>
          <w:b w:val="1"/>
          <w:bCs w:val="1"/>
        </w:rPr>
        <w:t>Logistics</w:t>
      </w:r>
      <w:r w:rsidRPr="32FCC0DE" w:rsidR="00BF7331">
        <w:rPr>
          <w:rFonts w:ascii="Verdana" w:hAnsi="Verdana" w:eastAsia="Verdana" w:cs="Verdana"/>
          <w:b w:val="1"/>
          <w:bCs w:val="1"/>
        </w:rPr>
        <w:t xml:space="preserve">, Sales &amp; Marketing y HR &amp; </w:t>
      </w:r>
      <w:r w:rsidRPr="32FCC0DE" w:rsidR="00BF7331">
        <w:rPr>
          <w:rFonts w:ascii="Verdana" w:hAnsi="Verdana" w:eastAsia="Verdana" w:cs="Verdana"/>
          <w:b w:val="1"/>
          <w:bCs w:val="1"/>
        </w:rPr>
        <w:t>Administration</w:t>
      </w:r>
      <w:r w:rsidRPr="32FCC0DE" w:rsidR="00BF7331">
        <w:rPr>
          <w:rFonts w:ascii="Verdana" w:hAnsi="Verdana" w:eastAsia="Verdana" w:cs="Verdana"/>
        </w:rPr>
        <w:t>.</w:t>
      </w:r>
    </w:p>
    <w:p w:rsidR="00A87C82" w:rsidRDefault="00BF7331" w14:paraId="00000011" w14:textId="77777777">
      <w:pPr>
        <w:spacing w:before="240" w:after="240" w:line="276" w:lineRule="auto"/>
        <w:jc w:val="both"/>
        <w:rPr>
          <w:rFonts w:ascii="Verdana" w:hAnsi="Verdana" w:eastAsia="Verdana" w:cs="Verdana"/>
        </w:rPr>
      </w:pPr>
      <w:r w:rsidRPr="32FCC0DE" w:rsidR="00BF7331">
        <w:rPr>
          <w:rFonts w:ascii="Verdana" w:hAnsi="Verdana" w:eastAsia="Verdana" w:cs="Verdana"/>
        </w:rPr>
        <w:t xml:space="preserve">En cada uno de estos sectores, los cargos de </w:t>
      </w:r>
      <w:r w:rsidRPr="32FCC0DE" w:rsidR="00BF7331">
        <w:rPr>
          <w:rFonts w:ascii="Verdana" w:hAnsi="Verdana" w:eastAsia="Verdana" w:cs="Verdana"/>
          <w:b w:val="1"/>
          <w:bCs w:val="1"/>
        </w:rPr>
        <w:t>Dirección, Gerencia General o liderazgo ejecutivo</w:t>
      </w:r>
      <w:r w:rsidRPr="32FCC0DE" w:rsidR="00BF7331">
        <w:rPr>
          <w:rFonts w:ascii="Verdana" w:hAnsi="Verdana" w:eastAsia="Verdana" w:cs="Verdana"/>
        </w:rPr>
        <w:t xml:space="preserve"> concentran los niveles salariales más elevados, reflejando la responsabilidad estratégica que implica la gestión integral del negocio, de los equipos y de los resultados.</w:t>
      </w:r>
    </w:p>
    <w:p w:rsidR="32FCC0DE" w:rsidP="32FCC0DE" w:rsidRDefault="32FCC0DE" w14:paraId="0F8AC6CE" w14:textId="50696A3C">
      <w:pPr>
        <w:spacing w:after="0" w:line="276" w:lineRule="auto"/>
        <w:jc w:val="both"/>
        <w:rPr>
          <w:rFonts w:ascii="Verdana" w:hAnsi="Verdana" w:eastAsia="Verdana" w:cs="Verdana"/>
          <w:b w:val="1"/>
          <w:bCs w:val="1"/>
        </w:rPr>
      </w:pPr>
    </w:p>
    <w:p w:rsidR="00A87C82" w:rsidRDefault="00BF7331" w14:paraId="00000012" w14:textId="77777777">
      <w:pPr>
        <w:spacing w:after="0" w:line="276" w:lineRule="auto"/>
        <w:jc w:val="both"/>
        <w:rPr>
          <w:rFonts w:ascii="Verdana" w:hAnsi="Verdana" w:eastAsia="Verdana" w:cs="Verdana"/>
          <w:b/>
          <w:bCs/>
        </w:rPr>
      </w:pPr>
      <w:r>
        <w:rPr>
          <w:rFonts w:ascii="Verdana" w:hAnsi="Verdana" w:eastAsia="Verdana" w:cs="Verdana"/>
          <w:b/>
          <w:bCs/>
        </w:rPr>
        <w:t>Pago por desempeño y beneficios ejecutivos</w:t>
      </w:r>
    </w:p>
    <w:p w:rsidR="00A87C82" w:rsidP="3CB9021B" w:rsidRDefault="00BF7331" w14:paraId="00000013" w14:textId="7D3D10EC">
      <w:pPr>
        <w:spacing w:before="240" w:beforeAutospacing="off" w:after="240" w:afterAutospacing="off" w:line="276" w:lineRule="auto"/>
        <w:jc w:val="both"/>
        <w:rPr>
          <w:rFonts w:ascii="Calibri" w:hAnsi="Calibri" w:eastAsia="Calibri" w:cs="Calibri"/>
          <w:noProof w:val="0"/>
          <w:sz w:val="22"/>
          <w:szCs w:val="22"/>
          <w:lang w:val="es-AR"/>
        </w:rPr>
      </w:pPr>
      <w:r w:rsidRPr="3CB9021B" w:rsidR="61FBABDE">
        <w:rPr>
          <w:rFonts w:ascii="Verdana" w:hAnsi="Verdana" w:eastAsia="Verdana" w:cs="Verdana"/>
          <w:noProof w:val="0"/>
          <w:sz w:val="22"/>
          <w:szCs w:val="22"/>
          <w:lang w:val="es-AR"/>
        </w:rPr>
        <w:t xml:space="preserve">Según los datos de la guía, durante 2025 las compañías otorgaron un </w:t>
      </w:r>
      <w:r w:rsidRPr="3CB9021B" w:rsidR="61FBABDE">
        <w:rPr>
          <w:rFonts w:ascii="Verdana" w:hAnsi="Verdana" w:eastAsia="Verdana" w:cs="Verdana"/>
          <w:b w:val="1"/>
          <w:bCs w:val="1"/>
          <w:noProof w:val="0"/>
          <w:sz w:val="22"/>
          <w:szCs w:val="22"/>
          <w:lang w:val="es-AR"/>
        </w:rPr>
        <w:t>ajuste salarial anual promedio fuera de convenio de un 29-36%</w:t>
      </w:r>
      <w:r w:rsidRPr="3CB9021B" w:rsidR="61FBABDE">
        <w:rPr>
          <w:rFonts w:ascii="Verdana" w:hAnsi="Verdana" w:eastAsia="Verdana" w:cs="Verdana"/>
          <w:noProof w:val="0"/>
          <w:sz w:val="22"/>
          <w:szCs w:val="22"/>
          <w:lang w:val="es-AR"/>
        </w:rPr>
        <w:t xml:space="preserve">, ubicándose por encima de la inflación que se proyecta del 31%. En los niveles ejecutivos, el salario fijo se complementa con </w:t>
      </w:r>
      <w:r w:rsidRPr="3CB9021B" w:rsidR="61FBABDE">
        <w:rPr>
          <w:rFonts w:ascii="Verdana" w:hAnsi="Verdana" w:eastAsia="Verdana" w:cs="Verdana"/>
          <w:b w:val="1"/>
          <w:bCs w:val="1"/>
          <w:noProof w:val="0"/>
          <w:sz w:val="22"/>
          <w:szCs w:val="22"/>
          <w:lang w:val="es-AR"/>
        </w:rPr>
        <w:t>bonos e incentivos</w:t>
      </w:r>
      <w:r w:rsidRPr="3CB9021B" w:rsidR="61FBABDE">
        <w:rPr>
          <w:rFonts w:ascii="Verdana" w:hAnsi="Verdana" w:eastAsia="Verdana" w:cs="Verdana"/>
          <w:noProof w:val="0"/>
          <w:sz w:val="22"/>
          <w:szCs w:val="22"/>
          <w:lang w:val="es-AR"/>
        </w:rPr>
        <w:t xml:space="preserve"> asociados principalmente al desempeño individual y a los resultados de la empresa.</w:t>
      </w:r>
    </w:p>
    <w:p w:rsidR="3CB9021B" w:rsidP="3CB9021B" w:rsidRDefault="3CB9021B" w14:paraId="22AAC2A1" w14:textId="4CB1F6BC">
      <w:pPr>
        <w:spacing w:after="0" w:line="276" w:lineRule="auto"/>
        <w:jc w:val="both"/>
        <w:rPr>
          <w:rFonts w:ascii="Verdana" w:hAnsi="Verdana" w:eastAsia="Verdana" w:cs="Verdana"/>
          <w:b w:val="1"/>
          <w:bCs w:val="1"/>
        </w:rPr>
      </w:pPr>
    </w:p>
    <w:p w:rsidR="00A87C82" w:rsidRDefault="00BF7331" w14:paraId="00000015" w14:textId="77777777">
      <w:pPr>
        <w:spacing w:after="0" w:line="276" w:lineRule="auto"/>
        <w:jc w:val="both"/>
        <w:rPr>
          <w:rFonts w:ascii="Verdana" w:hAnsi="Verdana" w:eastAsia="Verdana" w:cs="Verdana"/>
          <w:b/>
          <w:bCs/>
        </w:rPr>
      </w:pPr>
      <w:r>
        <w:rPr>
          <w:rFonts w:ascii="Verdana" w:hAnsi="Verdana" w:eastAsia="Verdana" w:cs="Verdana"/>
          <w:b/>
          <w:bCs/>
        </w:rPr>
        <w:t xml:space="preserve">2026 con mirada en compensaciones estratégicas </w:t>
      </w:r>
      <w:r>
        <w:rPr>
          <w:rFonts w:ascii="Verdana" w:hAnsi="Verdana" w:eastAsia="Verdana" w:cs="Verdana"/>
          <w:b/>
          <w:bCs/>
        </w:rPr>
        <w:br/>
      </w:r>
    </w:p>
    <w:p w:rsidR="00A87C82" w:rsidRDefault="00BF7331" w14:paraId="00000016" w14:textId="77777777">
      <w:pPr>
        <w:spacing w:after="0" w:line="276" w:lineRule="auto"/>
        <w:jc w:val="both"/>
        <w:rPr>
          <w:rFonts w:ascii="Verdana" w:hAnsi="Verdana" w:eastAsia="Verdana" w:cs="Verdana"/>
        </w:rPr>
      </w:pPr>
      <w:r w:rsidRPr="32FCC0DE" w:rsidR="00BF7331">
        <w:rPr>
          <w:rFonts w:ascii="Verdana" w:hAnsi="Verdana" w:eastAsia="Verdana" w:cs="Verdana"/>
        </w:rPr>
        <w:t xml:space="preserve">De cara a 2026, las organizaciones enfrentan </w:t>
      </w:r>
      <w:r w:rsidRPr="32FCC0DE" w:rsidR="00BF7331">
        <w:rPr>
          <w:rFonts w:ascii="Verdana" w:hAnsi="Verdana" w:eastAsia="Verdana" w:cs="Verdana"/>
          <w:b w:val="1"/>
          <w:bCs w:val="1"/>
        </w:rPr>
        <w:t>el desafío de diseñar esquemas de compensación competitivos y sostenibles para sus puestos más altos,</w:t>
      </w:r>
      <w:r w:rsidRPr="32FCC0DE" w:rsidR="00BF7331">
        <w:rPr>
          <w:rFonts w:ascii="Verdana" w:hAnsi="Verdana" w:eastAsia="Verdana" w:cs="Verdana"/>
        </w:rPr>
        <w:t xml:space="preserve"> en un contexto donde la eficiencia, la transformación digital y la gestión del talento continúan siendo prioridades estratégicas.</w:t>
      </w:r>
    </w:p>
    <w:p w:rsidR="00A87C82" w:rsidRDefault="00A87C82" w14:paraId="00000017" w14:textId="77777777">
      <w:pPr>
        <w:spacing w:after="0" w:line="276" w:lineRule="auto"/>
        <w:jc w:val="both"/>
        <w:rPr>
          <w:rFonts w:ascii="Verdana" w:hAnsi="Verdana" w:eastAsia="Verdana" w:cs="Verdana"/>
          <w:b/>
          <w:bCs/>
        </w:rPr>
      </w:pPr>
    </w:p>
    <w:p w:rsidR="00A87C82" w:rsidRDefault="00BF7331" w14:paraId="00000018" w14:textId="77777777">
      <w:pPr>
        <w:spacing w:after="0" w:line="276" w:lineRule="auto"/>
        <w:jc w:val="both"/>
        <w:rPr>
          <w:rFonts w:ascii="Verdana" w:hAnsi="Verdana" w:eastAsia="Verdana" w:cs="Verdana"/>
          <w:b/>
          <w:bCs/>
        </w:rPr>
      </w:pPr>
      <w:r>
        <w:rPr>
          <w:rFonts w:ascii="Verdana" w:hAnsi="Verdana" w:eastAsia="Verdana" w:cs="Verdana"/>
          <w:b/>
          <w:bCs/>
        </w:rPr>
        <w:t>Sueldos por industria</w:t>
      </w:r>
    </w:p>
    <w:p w:rsidR="00A87C82" w:rsidRDefault="00BF7331" w14:paraId="00000019" w14:textId="72F1D23F">
      <w:pPr>
        <w:spacing w:before="240" w:after="240" w:line="276" w:lineRule="auto"/>
        <w:jc w:val="both"/>
        <w:rPr>
          <w:rFonts w:ascii="Verdana" w:hAnsi="Verdana" w:eastAsia="Verdana" w:cs="Verdana"/>
        </w:rPr>
      </w:pPr>
      <w:r w:rsidRPr="32FCC0DE" w:rsidR="2F19BFFF">
        <w:rPr>
          <w:rFonts w:ascii="Verdana" w:hAnsi="Verdana" w:eastAsia="Verdana" w:cs="Verdana"/>
        </w:rPr>
        <w:t>Estos son</w:t>
      </w:r>
      <w:r w:rsidRPr="32FCC0DE" w:rsidR="00BF7331">
        <w:rPr>
          <w:rFonts w:ascii="Verdana" w:hAnsi="Verdana" w:eastAsia="Verdana" w:cs="Verdana"/>
        </w:rPr>
        <w:t xml:space="preserve"> los sueldos que se pagan en </w:t>
      </w:r>
      <w:r w:rsidRPr="32FCC0DE" w:rsidR="00BF7331">
        <w:rPr>
          <w:rFonts w:ascii="Verdana" w:hAnsi="Verdana" w:eastAsia="Verdana" w:cs="Verdana"/>
          <w:b w:val="1"/>
          <w:bCs w:val="1"/>
        </w:rPr>
        <w:t>las posiciones de mayor jerarquía de cada industria</w:t>
      </w:r>
      <w:r w:rsidRPr="32FCC0DE" w:rsidR="00BF7331">
        <w:rPr>
          <w:rFonts w:ascii="Verdana" w:hAnsi="Verdana" w:eastAsia="Verdana" w:cs="Verdana"/>
        </w:rPr>
        <w:t xml:space="preserve">, según el </w:t>
      </w:r>
      <w:r w:rsidRPr="32FCC0DE" w:rsidR="00BF7331">
        <w:rPr>
          <w:rFonts w:ascii="Verdana" w:hAnsi="Verdana" w:eastAsia="Verdana" w:cs="Verdana"/>
          <w:b w:val="1"/>
          <w:bCs w:val="1"/>
        </w:rPr>
        <w:t>tamaño y la ubicación geográfica de las compañías</w:t>
      </w:r>
      <w:r w:rsidRPr="32FCC0DE" w:rsidR="00BF7331">
        <w:rPr>
          <w:rFonts w:ascii="Verdana" w:hAnsi="Verdana" w:eastAsia="Verdana" w:cs="Verdana"/>
        </w:rPr>
        <w:t xml:space="preserve">, de acuerdo con los datos relevados en la </w:t>
      </w:r>
      <w:r w:rsidRPr="32FCC0DE" w:rsidR="00BF7331">
        <w:rPr>
          <w:rFonts w:ascii="Verdana" w:hAnsi="Verdana" w:eastAsia="Verdana" w:cs="Verdana"/>
          <w:b w:val="1"/>
          <w:bCs w:val="1"/>
        </w:rPr>
        <w:t>Guía Salarial 2025</w:t>
      </w:r>
      <w:r w:rsidRPr="32FCC0DE" w:rsidR="07CA2574">
        <w:rPr>
          <w:rFonts w:ascii="Verdana" w:hAnsi="Verdana" w:eastAsia="Verdana" w:cs="Verdana"/>
          <w:b w:val="1"/>
          <w:bCs w:val="1"/>
        </w:rPr>
        <w:t xml:space="preserve"> -2026</w:t>
      </w:r>
      <w:r w:rsidRPr="32FCC0DE" w:rsidR="00BF7331">
        <w:rPr>
          <w:rFonts w:ascii="Verdana" w:hAnsi="Verdana" w:eastAsia="Verdana" w:cs="Verdana"/>
          <w:b w:val="1"/>
          <w:bCs w:val="1"/>
        </w:rPr>
        <w:t xml:space="preserve"> de Adecco Argentina</w:t>
      </w:r>
      <w:r w:rsidRPr="32FCC0DE" w:rsidR="00BF7331">
        <w:rPr>
          <w:rFonts w:ascii="Verdana" w:hAnsi="Verdana" w:eastAsia="Verdana" w:cs="Verdana"/>
        </w:rPr>
        <w:t>.</w:t>
      </w:r>
    </w:p>
    <w:p w:rsidR="00A87C82" w:rsidRDefault="00BF7331" w14:paraId="0000001A" w14:textId="77777777">
      <w:pPr>
        <w:numPr>
          <w:ilvl w:val="0"/>
          <w:numId w:val="1"/>
        </w:numPr>
        <w:spacing w:before="240" w:after="240" w:line="276" w:lineRule="auto"/>
        <w:rPr>
          <w:rFonts w:ascii="Verdana" w:hAnsi="Verdana" w:eastAsia="Verdana" w:cs="Verdana"/>
        </w:rPr>
      </w:pPr>
      <w:r>
        <w:rPr>
          <w:rFonts w:ascii="Verdana" w:hAnsi="Verdana" w:eastAsia="Verdana" w:cs="Verdana"/>
        </w:rPr>
        <w:t>HR &amp; Administration</w:t>
      </w:r>
    </w:p>
    <w:p w:rsidR="00A87C82" w:rsidRDefault="00BF7331" w14:paraId="0000001B" w14:textId="77777777">
      <w:pPr>
        <w:spacing w:before="240" w:after="240" w:line="276" w:lineRule="auto"/>
        <w:rPr>
          <w:rFonts w:ascii="Verdana" w:hAnsi="Verdana" w:eastAsia="Verdana" w:cs="Verdana"/>
        </w:rPr>
      </w:pPr>
      <w:r>
        <w:rPr>
          <w:rFonts w:ascii="Verdana" w:hAnsi="Verdana" w:eastAsia="Verdana" w:cs="Verdana"/>
          <w:noProof/>
        </w:rPr>
        <w:drawing>
          <wp:inline distT="114300" distB="114300" distL="114300" distR="114300" wp14:anchorId="2F08A90C" wp14:editId="07777777">
            <wp:extent cx="5612130" cy="1485900"/>
            <wp:effectExtent l="0" t="0" r="0" b="0"/>
            <wp:docPr id="8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612130" cy="1485900"/>
                    </a:xfrm>
                    <a:prstGeom prst="rect">
                      <a:avLst/>
                    </a:prstGeom>
                    <a:ln/>
                  </pic:spPr>
                </pic:pic>
              </a:graphicData>
            </a:graphic>
          </wp:inline>
        </w:drawing>
      </w:r>
      <w:r>
        <w:rPr>
          <w:rFonts w:ascii="Verdana" w:hAnsi="Verdana" w:eastAsia="Verdana" w:cs="Verdana"/>
        </w:rPr>
        <w:br/>
      </w:r>
    </w:p>
    <w:p w:rsidR="00A87C82" w:rsidRDefault="00BF7331" w14:paraId="0000001C" w14:textId="77777777">
      <w:pPr>
        <w:numPr>
          <w:ilvl w:val="0"/>
          <w:numId w:val="1"/>
        </w:numPr>
        <w:spacing w:before="240" w:after="240" w:line="276" w:lineRule="auto"/>
        <w:rPr>
          <w:rFonts w:ascii="Verdana" w:hAnsi="Verdana" w:eastAsia="Verdana" w:cs="Verdana"/>
        </w:rPr>
      </w:pPr>
      <w:r>
        <w:rPr>
          <w:rFonts w:ascii="Verdana" w:hAnsi="Verdana" w:eastAsia="Verdana" w:cs="Verdana"/>
        </w:rPr>
        <w:t>Finance &amp; Legal</w:t>
      </w:r>
    </w:p>
    <w:p w:rsidR="00A87C82" w:rsidRDefault="00BF7331" w14:paraId="0000001D" w14:textId="77777777">
      <w:pPr>
        <w:spacing w:before="240" w:after="240" w:line="276" w:lineRule="auto"/>
        <w:rPr>
          <w:rFonts w:ascii="Verdana" w:hAnsi="Verdana" w:eastAsia="Verdana" w:cs="Verdana"/>
        </w:rPr>
      </w:pPr>
      <w:r>
        <w:rPr>
          <w:rFonts w:ascii="Verdana" w:hAnsi="Verdana" w:eastAsia="Verdana" w:cs="Verdana"/>
          <w:noProof/>
        </w:rPr>
        <w:drawing>
          <wp:inline distT="114300" distB="114300" distL="114300" distR="114300" wp14:anchorId="1471FE1B" wp14:editId="07777777">
            <wp:extent cx="5612130" cy="1485900"/>
            <wp:effectExtent l="0" t="0" r="0" b="0"/>
            <wp:docPr id="9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a:stretch>
                      <a:fillRect/>
                    </a:stretch>
                  </pic:blipFill>
                  <pic:spPr>
                    <a:xfrm>
                      <a:off x="0" y="0"/>
                      <a:ext cx="5612130" cy="1485900"/>
                    </a:xfrm>
                    <a:prstGeom prst="rect">
                      <a:avLst/>
                    </a:prstGeom>
                    <a:ln/>
                  </pic:spPr>
                </pic:pic>
              </a:graphicData>
            </a:graphic>
          </wp:inline>
        </w:drawing>
      </w:r>
    </w:p>
    <w:p w:rsidR="00A87C82" w:rsidRDefault="00BF7331" w14:paraId="0000001E" w14:textId="77777777">
      <w:pPr>
        <w:numPr>
          <w:ilvl w:val="0"/>
          <w:numId w:val="1"/>
        </w:numPr>
        <w:spacing w:before="240" w:after="240" w:line="276" w:lineRule="auto"/>
        <w:rPr>
          <w:rFonts w:ascii="Verdana" w:hAnsi="Verdana" w:eastAsia="Verdana" w:cs="Verdana"/>
        </w:rPr>
      </w:pPr>
      <w:r>
        <w:rPr>
          <w:rFonts w:ascii="Verdana" w:hAnsi="Verdana" w:eastAsia="Verdana" w:cs="Verdana"/>
        </w:rPr>
        <w:t>Supply Chain &amp; Logistics</w:t>
      </w:r>
    </w:p>
    <w:p w:rsidR="00A87C82" w:rsidRDefault="00BF7331" w14:paraId="0000001F" w14:textId="77777777">
      <w:pPr>
        <w:spacing w:before="240" w:after="240" w:line="276" w:lineRule="auto"/>
        <w:rPr>
          <w:rFonts w:ascii="Verdana" w:hAnsi="Verdana" w:eastAsia="Verdana" w:cs="Verdana"/>
        </w:rPr>
      </w:pPr>
      <w:r>
        <w:rPr>
          <w:rFonts w:ascii="Verdana" w:hAnsi="Verdana" w:eastAsia="Verdana" w:cs="Verdana"/>
          <w:noProof/>
        </w:rPr>
        <w:drawing>
          <wp:inline distT="114300" distB="114300" distL="114300" distR="114300" wp14:anchorId="78B5F5C6" wp14:editId="07777777">
            <wp:extent cx="5612130" cy="1524000"/>
            <wp:effectExtent l="0" t="0" r="0" b="0"/>
            <wp:docPr id="9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5612130" cy="1524000"/>
                    </a:xfrm>
                    <a:prstGeom prst="rect">
                      <a:avLst/>
                    </a:prstGeom>
                    <a:ln/>
                  </pic:spPr>
                </pic:pic>
              </a:graphicData>
            </a:graphic>
          </wp:inline>
        </w:drawing>
      </w:r>
      <w:r>
        <w:rPr>
          <w:rFonts w:ascii="Verdana" w:hAnsi="Verdana" w:eastAsia="Verdana" w:cs="Verdana"/>
          <w:noProof/>
        </w:rPr>
        <w:drawing>
          <wp:inline distT="114300" distB="114300" distL="114300" distR="114300" wp14:anchorId="3FC7F2A5" wp14:editId="07777777">
            <wp:extent cx="5612130" cy="1524000"/>
            <wp:effectExtent l="0" t="0" r="0" b="0"/>
            <wp:docPr id="8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3"/>
                    <a:srcRect/>
                    <a:stretch>
                      <a:fillRect/>
                    </a:stretch>
                  </pic:blipFill>
                  <pic:spPr>
                    <a:xfrm>
                      <a:off x="0" y="0"/>
                      <a:ext cx="5612130" cy="1524000"/>
                    </a:xfrm>
                    <a:prstGeom prst="rect">
                      <a:avLst/>
                    </a:prstGeom>
                    <a:ln/>
                  </pic:spPr>
                </pic:pic>
              </a:graphicData>
            </a:graphic>
          </wp:inline>
        </w:drawing>
      </w:r>
    </w:p>
    <w:p w:rsidR="00A87C82" w:rsidRDefault="00BF7331" w14:paraId="00000020" w14:textId="77777777">
      <w:pPr>
        <w:numPr>
          <w:ilvl w:val="0"/>
          <w:numId w:val="1"/>
        </w:numPr>
        <w:spacing w:before="240" w:after="240" w:line="276" w:lineRule="auto"/>
        <w:rPr>
          <w:rFonts w:ascii="Verdana" w:hAnsi="Verdana" w:eastAsia="Verdana" w:cs="Verdana"/>
        </w:rPr>
      </w:pPr>
      <w:r>
        <w:rPr>
          <w:rFonts w:ascii="Verdana" w:hAnsi="Verdana" w:eastAsia="Verdana" w:cs="Verdana"/>
        </w:rPr>
        <w:t>Engineering &amp; Production</w:t>
      </w:r>
    </w:p>
    <w:p w:rsidR="00A87C82" w:rsidRDefault="00BF7331" w14:paraId="00000021" w14:textId="77777777">
      <w:pPr>
        <w:spacing w:before="240" w:after="240" w:line="276" w:lineRule="auto"/>
        <w:rPr>
          <w:rFonts w:ascii="Verdana" w:hAnsi="Verdana" w:eastAsia="Verdana" w:cs="Verdana"/>
        </w:rPr>
      </w:pPr>
      <w:r>
        <w:rPr>
          <w:rFonts w:ascii="Verdana" w:hAnsi="Verdana" w:eastAsia="Verdana" w:cs="Verdana"/>
          <w:noProof/>
        </w:rPr>
        <w:drawing>
          <wp:inline distT="114300" distB="114300" distL="114300" distR="114300" wp14:anchorId="466241A6" wp14:editId="07777777">
            <wp:extent cx="5612130" cy="1511300"/>
            <wp:effectExtent l="0" t="0" r="0" b="0"/>
            <wp:docPr id="9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5612130" cy="1511300"/>
                    </a:xfrm>
                    <a:prstGeom prst="rect">
                      <a:avLst/>
                    </a:prstGeom>
                    <a:ln/>
                  </pic:spPr>
                </pic:pic>
              </a:graphicData>
            </a:graphic>
          </wp:inline>
        </w:drawing>
      </w:r>
    </w:p>
    <w:p w:rsidR="00A87C82" w:rsidRDefault="00A87C82" w14:paraId="00000022" w14:textId="77777777">
      <w:pPr>
        <w:spacing w:before="240" w:after="240" w:line="276" w:lineRule="auto"/>
        <w:rPr>
          <w:rFonts w:ascii="Verdana" w:hAnsi="Verdana" w:eastAsia="Verdana" w:cs="Verdana"/>
        </w:rPr>
      </w:pPr>
    </w:p>
    <w:p w:rsidR="00A87C82" w:rsidRDefault="00BF7331" w14:paraId="00000023" w14:textId="77777777">
      <w:pPr>
        <w:numPr>
          <w:ilvl w:val="0"/>
          <w:numId w:val="1"/>
        </w:numPr>
        <w:spacing w:before="240" w:after="240" w:line="276" w:lineRule="auto"/>
        <w:rPr>
          <w:rFonts w:ascii="Verdana" w:hAnsi="Verdana" w:eastAsia="Verdana" w:cs="Verdana"/>
        </w:rPr>
      </w:pPr>
      <w:r>
        <w:rPr>
          <w:rFonts w:ascii="Verdana" w:hAnsi="Verdana" w:eastAsia="Verdana" w:cs="Verdana"/>
        </w:rPr>
        <w:t>Healthcare &amp; Pharma</w:t>
      </w:r>
    </w:p>
    <w:p w:rsidR="00A87C82" w:rsidRDefault="00BF7331" w14:paraId="00000024" w14:textId="77777777">
      <w:pPr>
        <w:spacing w:before="240" w:after="240" w:line="276" w:lineRule="auto"/>
        <w:rPr>
          <w:rFonts w:ascii="Verdana" w:hAnsi="Verdana" w:eastAsia="Verdana" w:cs="Verdana"/>
        </w:rPr>
      </w:pPr>
      <w:r>
        <w:rPr>
          <w:rFonts w:ascii="Verdana" w:hAnsi="Verdana" w:eastAsia="Verdana" w:cs="Verdana"/>
          <w:noProof/>
        </w:rPr>
        <w:drawing>
          <wp:inline distT="114300" distB="114300" distL="114300" distR="114300" wp14:anchorId="3FD7A3A8" wp14:editId="07777777">
            <wp:extent cx="5612130" cy="1511300"/>
            <wp:effectExtent l="0" t="0" r="0" b="0"/>
            <wp:docPr id="9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5"/>
                    <a:srcRect/>
                    <a:stretch>
                      <a:fillRect/>
                    </a:stretch>
                  </pic:blipFill>
                  <pic:spPr>
                    <a:xfrm>
                      <a:off x="0" y="0"/>
                      <a:ext cx="5612130" cy="1511300"/>
                    </a:xfrm>
                    <a:prstGeom prst="rect">
                      <a:avLst/>
                    </a:prstGeom>
                    <a:ln/>
                  </pic:spPr>
                </pic:pic>
              </a:graphicData>
            </a:graphic>
          </wp:inline>
        </w:drawing>
      </w:r>
    </w:p>
    <w:p w:rsidR="00A87C82" w:rsidRDefault="00BF7331" w14:paraId="00000025" w14:textId="77777777">
      <w:pPr>
        <w:numPr>
          <w:ilvl w:val="0"/>
          <w:numId w:val="1"/>
        </w:numPr>
        <w:spacing w:before="240" w:after="240" w:line="276" w:lineRule="auto"/>
        <w:rPr>
          <w:rFonts w:ascii="Verdana" w:hAnsi="Verdana" w:eastAsia="Verdana" w:cs="Verdana"/>
        </w:rPr>
      </w:pPr>
      <w:r>
        <w:rPr>
          <w:rFonts w:ascii="Verdana" w:hAnsi="Verdana" w:eastAsia="Verdana" w:cs="Verdana"/>
        </w:rPr>
        <w:t>Sales &amp; Marketing</w:t>
      </w:r>
    </w:p>
    <w:p w:rsidR="00A87C82" w:rsidRDefault="00BF7331" w14:paraId="00000026" w14:textId="77777777">
      <w:pPr>
        <w:spacing w:before="240" w:after="240" w:line="276" w:lineRule="auto"/>
        <w:rPr>
          <w:rFonts w:ascii="Verdana" w:hAnsi="Verdana" w:eastAsia="Verdana" w:cs="Verdana"/>
        </w:rPr>
      </w:pPr>
      <w:r>
        <w:rPr>
          <w:rFonts w:ascii="Verdana" w:hAnsi="Verdana" w:eastAsia="Verdana" w:cs="Verdana"/>
          <w:noProof/>
        </w:rPr>
        <w:drawing>
          <wp:inline distT="114300" distB="114300" distL="114300" distR="114300" wp14:anchorId="1817E98C" wp14:editId="07777777">
            <wp:extent cx="5612130" cy="1511300"/>
            <wp:effectExtent l="0" t="0" r="0" b="0"/>
            <wp:docPr id="8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5612130" cy="1511300"/>
                    </a:xfrm>
                    <a:prstGeom prst="rect">
                      <a:avLst/>
                    </a:prstGeom>
                    <a:ln/>
                  </pic:spPr>
                </pic:pic>
              </a:graphicData>
            </a:graphic>
          </wp:inline>
        </w:drawing>
      </w:r>
    </w:p>
    <w:p w:rsidR="00A87C82" w:rsidRDefault="00BF7331" w14:paraId="00000027" w14:textId="77777777">
      <w:pPr>
        <w:numPr>
          <w:ilvl w:val="0"/>
          <w:numId w:val="1"/>
        </w:numPr>
        <w:spacing w:before="240" w:after="240" w:line="276" w:lineRule="auto"/>
        <w:rPr>
          <w:rFonts w:ascii="Verdana" w:hAnsi="Verdana" w:eastAsia="Verdana" w:cs="Verdana"/>
        </w:rPr>
      </w:pPr>
      <w:r>
        <w:rPr>
          <w:rFonts w:ascii="Verdana" w:hAnsi="Verdana" w:eastAsia="Verdana" w:cs="Verdana"/>
        </w:rPr>
        <w:t>Mining</w:t>
      </w:r>
    </w:p>
    <w:p w:rsidR="00A87C82" w:rsidRDefault="00BF7331" w14:paraId="00000028" w14:textId="77777777">
      <w:pPr>
        <w:spacing w:before="240" w:after="240" w:line="276" w:lineRule="auto"/>
        <w:rPr>
          <w:rFonts w:ascii="Verdana" w:hAnsi="Verdana" w:eastAsia="Verdana" w:cs="Verdana"/>
        </w:rPr>
      </w:pPr>
      <w:r>
        <w:rPr>
          <w:rFonts w:ascii="Verdana" w:hAnsi="Verdana" w:eastAsia="Verdana" w:cs="Verdana"/>
          <w:noProof/>
        </w:rPr>
        <w:drawing>
          <wp:inline distT="114300" distB="114300" distL="114300" distR="114300" wp14:anchorId="244E74D9" wp14:editId="07777777">
            <wp:extent cx="5612130" cy="1524000"/>
            <wp:effectExtent l="0" t="0" r="0" b="0"/>
            <wp:docPr id="8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7"/>
                    <a:srcRect/>
                    <a:stretch>
                      <a:fillRect/>
                    </a:stretch>
                  </pic:blipFill>
                  <pic:spPr>
                    <a:xfrm>
                      <a:off x="0" y="0"/>
                      <a:ext cx="5612130" cy="1524000"/>
                    </a:xfrm>
                    <a:prstGeom prst="rect">
                      <a:avLst/>
                    </a:prstGeom>
                    <a:ln/>
                  </pic:spPr>
                </pic:pic>
              </a:graphicData>
            </a:graphic>
          </wp:inline>
        </w:drawing>
      </w:r>
    </w:p>
    <w:p w:rsidR="00A87C82" w:rsidRDefault="00BF7331" w14:paraId="00000029" w14:textId="77777777">
      <w:pPr>
        <w:numPr>
          <w:ilvl w:val="0"/>
          <w:numId w:val="1"/>
        </w:numPr>
        <w:spacing w:before="240" w:after="240" w:line="276" w:lineRule="auto"/>
        <w:rPr>
          <w:rFonts w:ascii="Verdana" w:hAnsi="Verdana" w:eastAsia="Verdana" w:cs="Verdana"/>
        </w:rPr>
      </w:pPr>
      <w:r>
        <w:rPr>
          <w:rFonts w:ascii="Verdana" w:hAnsi="Verdana" w:eastAsia="Verdana" w:cs="Verdana"/>
        </w:rPr>
        <w:t>IT</w:t>
      </w:r>
    </w:p>
    <w:p w:rsidR="00A87C82" w:rsidRDefault="00BF7331" w14:paraId="0000002A" w14:textId="77777777">
      <w:pPr>
        <w:spacing w:before="240" w:after="240" w:line="276" w:lineRule="auto"/>
        <w:rPr>
          <w:rFonts w:ascii="Verdana" w:hAnsi="Verdana" w:eastAsia="Verdana" w:cs="Verdana"/>
        </w:rPr>
      </w:pPr>
      <w:r>
        <w:rPr>
          <w:rFonts w:ascii="Verdana" w:hAnsi="Verdana" w:eastAsia="Verdana" w:cs="Verdana"/>
          <w:noProof/>
        </w:rPr>
        <w:drawing>
          <wp:inline distT="114300" distB="114300" distL="114300" distR="114300" wp14:anchorId="7423C3AD" wp14:editId="07777777">
            <wp:extent cx="5612130" cy="1498600"/>
            <wp:effectExtent l="0" t="0" r="0" b="0"/>
            <wp:docPr id="9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5612130" cy="1498600"/>
                    </a:xfrm>
                    <a:prstGeom prst="rect">
                      <a:avLst/>
                    </a:prstGeom>
                    <a:ln/>
                  </pic:spPr>
                </pic:pic>
              </a:graphicData>
            </a:graphic>
          </wp:inline>
        </w:drawing>
      </w:r>
    </w:p>
    <w:p w:rsidR="00A87C82" w:rsidRDefault="00BF7331" w14:paraId="0000002B" w14:textId="77777777">
      <w:pPr>
        <w:numPr>
          <w:ilvl w:val="0"/>
          <w:numId w:val="1"/>
        </w:numPr>
        <w:spacing w:before="240" w:after="240" w:line="276" w:lineRule="auto"/>
        <w:rPr>
          <w:rFonts w:ascii="Verdana" w:hAnsi="Verdana" w:eastAsia="Verdana" w:cs="Verdana"/>
        </w:rPr>
      </w:pPr>
      <w:r>
        <w:rPr>
          <w:rFonts w:ascii="Verdana" w:hAnsi="Verdana" w:eastAsia="Verdana" w:cs="Verdana"/>
        </w:rPr>
        <w:t>Oil &amp; Gas</w:t>
      </w:r>
    </w:p>
    <w:p w:rsidR="00A87C82" w:rsidRDefault="00BF7331" w14:paraId="0000002C" w14:textId="77777777">
      <w:pPr>
        <w:spacing w:after="0" w:line="276" w:lineRule="auto"/>
        <w:jc w:val="both"/>
        <w:rPr>
          <w:rFonts w:ascii="Verdana" w:hAnsi="Verdana" w:eastAsia="Verdana" w:cs="Verdana"/>
        </w:rPr>
      </w:pPr>
      <w:r>
        <w:rPr>
          <w:rFonts w:ascii="Verdana" w:hAnsi="Verdana" w:eastAsia="Verdana" w:cs="Verdana"/>
          <w:noProof/>
        </w:rPr>
        <w:drawing>
          <wp:inline distT="114300" distB="114300" distL="114300" distR="114300" wp14:anchorId="5B1F8677" wp14:editId="07777777">
            <wp:extent cx="5612130" cy="1524000"/>
            <wp:effectExtent l="0" t="0" r="0" b="0"/>
            <wp:docPr id="9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9"/>
                    <a:srcRect/>
                    <a:stretch>
                      <a:fillRect/>
                    </a:stretch>
                  </pic:blipFill>
                  <pic:spPr>
                    <a:xfrm>
                      <a:off x="0" y="0"/>
                      <a:ext cx="5612130" cy="1524000"/>
                    </a:xfrm>
                    <a:prstGeom prst="rect">
                      <a:avLst/>
                    </a:prstGeom>
                    <a:ln/>
                  </pic:spPr>
                </pic:pic>
              </a:graphicData>
            </a:graphic>
          </wp:inline>
        </w:drawing>
      </w:r>
    </w:p>
    <w:p w:rsidR="00A87C82" w:rsidRDefault="00A87C82" w14:paraId="0000002D" w14:textId="77777777">
      <w:pPr>
        <w:jc w:val="both"/>
        <w:rPr>
          <w:rFonts w:ascii="Verdana" w:hAnsi="Verdana" w:eastAsia="Verdana" w:cs="Verdana"/>
        </w:rPr>
      </w:pPr>
    </w:p>
    <w:p w:rsidR="00A87C82" w:rsidRDefault="00A87C82" w14:paraId="0000002E" w14:textId="77777777">
      <w:pPr>
        <w:jc w:val="both"/>
        <w:rPr>
          <w:rFonts w:ascii="Verdana" w:hAnsi="Verdana" w:eastAsia="Verdana" w:cs="Verdana"/>
        </w:rPr>
      </w:pPr>
    </w:p>
    <w:p w:rsidR="00A87C82" w:rsidRDefault="00BF7331" w14:paraId="0000002F" w14:textId="77777777">
      <w:pPr>
        <w:spacing w:before="240" w:after="240" w:line="240" w:lineRule="auto"/>
        <w:ind w:right="-40"/>
        <w:jc w:val="both"/>
        <w:rPr>
          <w:rFonts w:ascii="Verdana" w:hAnsi="Verdana" w:eastAsia="Verdana" w:cs="Verdana"/>
          <w:b/>
          <w:bCs/>
          <w:sz w:val="16"/>
          <w:szCs w:val="16"/>
        </w:rPr>
      </w:pPr>
      <w:r>
        <w:rPr>
          <w:rFonts w:ascii="Verdana" w:hAnsi="Verdana" w:eastAsia="Verdana" w:cs="Verdana"/>
          <w:b/>
          <w:bCs/>
          <w:sz w:val="16"/>
          <w:szCs w:val="16"/>
        </w:rPr>
        <w:t>Acerca de Adecco</w:t>
      </w:r>
    </w:p>
    <w:p w:rsidR="00A87C82" w:rsidRDefault="00BF7331" w14:paraId="00000030" w14:textId="77777777">
      <w:pPr>
        <w:jc w:val="both"/>
        <w:rPr>
          <w:rFonts w:ascii="Verdana" w:hAnsi="Verdana" w:eastAsia="Verdana" w:cs="Verdana"/>
        </w:rPr>
      </w:pPr>
      <w:r>
        <w:rPr>
          <w:rFonts w:ascii="Verdana" w:hAnsi="Verdana" w:eastAsia="Verdana" w:cs="Verdana"/>
          <w:sz w:val="16"/>
          <w:szCs w:val="16"/>
        </w:rPr>
        <w:t xml:space="preserve">Presente en el país desde hace más de 30 años, Adecco Argentina es líder absoluto en la contratación de personal y ofrece soluciones integrales en el área de Recursos Humanos. Cuenta con más de 20 sucursales ubicadas en las principales ciudades del país. Adecco Argentina dispone de una media semanal de 1.000 clientes activos en cuyas empresas prestan servicios más de 9.000 personas. Para más información, ingrese a: </w:t>
      </w:r>
      <w:hyperlink r:id="rId20">
        <w:r>
          <w:rPr>
            <w:rFonts w:ascii="Verdana" w:hAnsi="Verdana" w:eastAsia="Verdana" w:cs="Verdana"/>
            <w:color w:val="1155CC"/>
            <w:sz w:val="16"/>
            <w:szCs w:val="16"/>
            <w:u w:val="single"/>
          </w:rPr>
          <w:t>https://www.adecco.com/es-ar</w:t>
        </w:r>
      </w:hyperlink>
    </w:p>
    <w:sectPr w:rsidR="00A87C82">
      <w:headerReference w:type="default" r:id="rId21"/>
      <w:footerReference w:type="default" r:id="rId22"/>
      <w:pgSz w:w="12240" w:h="15840" w:orient="portrait"/>
      <w:pgMar w:top="1417" w:right="1701" w:bottom="1417" w:left="1701" w:header="708" w:footer="708" w:gutter="0"/>
      <w:pgNumType w:start="1"/>
      <w:cols w:space="72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F7331" w:rsidRDefault="00BF7331" w14:paraId="42CC5647" w14:textId="77777777">
      <w:pPr>
        <w:spacing w:after="0" w:line="240" w:lineRule="auto"/>
      </w:pPr>
      <w:r>
        <w:separator/>
      </w:r>
    </w:p>
  </w:endnote>
  <w:endnote w:type="continuationSeparator" w:id="0">
    <w:p w:rsidR="00BF7331" w:rsidRDefault="00BF7331" w14:paraId="66A7AD5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w:fontKey="{D613B301-D195-4438-9994-CC81277C0AEC}" r:id="rId1"/>
    <w:embedBold w:fontKey="{EE2C6BC9-61AE-4BC5-8483-D9E742239C57}" r:id="rId2"/>
  </w:font>
  <w:font w:name="Tahoma">
    <w:panose1 w:val="020B0604030504040204"/>
    <w:charset w:val="00"/>
    <w:family w:val="swiss"/>
    <w:pitch w:val="variable"/>
    <w:sig w:usb0="E1002EFF" w:usb1="C000605B" w:usb2="00000029" w:usb3="00000000" w:csb0="000101FF" w:csb1="00000000"/>
    <w:embedRegular w:fontKey="{4F5FBDB6-AB70-479A-A12C-711B810D5A35}" r:id="rId3"/>
  </w:font>
  <w:font w:name="Georgia">
    <w:panose1 w:val="02040502050405020303"/>
    <w:charset w:val="00"/>
    <w:family w:val="roman"/>
    <w:pitch w:val="variable"/>
    <w:sig w:usb0="00000287" w:usb1="00000000" w:usb2="00000000" w:usb3="00000000" w:csb0="0000009F" w:csb1="00000000"/>
    <w:embedItalic w:fontKey="{8D476523-32CC-49BB-A2EC-FF3D05A8DBDC}" r:id="rId4"/>
  </w:font>
  <w:font w:name="Verdana">
    <w:panose1 w:val="020B0604030504040204"/>
    <w:charset w:val="00"/>
    <w:family w:val="swiss"/>
    <w:pitch w:val="variable"/>
    <w:sig w:usb0="A00006FF" w:usb1="4000205B" w:usb2="00000010" w:usb3="00000000" w:csb0="0000019F" w:csb1="00000000"/>
    <w:embedRegular w:fontKey="{74312036-EB59-4A6B-9B52-42CFC75F691F}" r:id="rId5"/>
    <w:embedBold w:fontKey="{20B4ACC3-2937-4078-BA30-B5998559CD2D}" r:id="rId6"/>
    <w:embedItalic w:fontKey="{887F779C-D831-42BF-A912-E925321AD3BF}" r:id="rId7"/>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w:fontKey="{05428495-9C9D-4B92-AC6F-C3266085EB7E}" r:id="rId8"/>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87C82" w:rsidRDefault="00A87C82" w14:paraId="00000032" w14:textId="77777777">
    <w:pPr>
      <w:pBdr>
        <w:top w:val="nil"/>
        <w:left w:val="nil"/>
        <w:bottom w:val="nil"/>
        <w:right w:val="nil"/>
        <w:between w:val="nil"/>
      </w:pBdr>
      <w:tabs>
        <w:tab w:val="center" w:pos="4419"/>
        <w:tab w:val="right" w:pos="8838"/>
      </w:tabs>
      <w:spacing w:after="0" w:line="240" w:lineRule="auto"/>
      <w:jc w:val="center"/>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F7331" w:rsidRDefault="00BF7331" w14:paraId="71383E98" w14:textId="77777777">
      <w:pPr>
        <w:spacing w:after="0" w:line="240" w:lineRule="auto"/>
      </w:pPr>
      <w:r>
        <w:separator/>
      </w:r>
    </w:p>
  </w:footnote>
  <w:footnote w:type="continuationSeparator" w:id="0">
    <w:p w:rsidR="00BF7331" w:rsidRDefault="00BF7331" w14:paraId="6F05EE7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A87C82" w:rsidRDefault="00BF7331" w14:paraId="00000031" w14:textId="77777777">
    <w:pPr>
      <w:pBdr>
        <w:top w:val="nil"/>
        <w:left w:val="nil"/>
        <w:bottom w:val="nil"/>
        <w:right w:val="nil"/>
        <w:between w:val="nil"/>
      </w:pBdr>
      <w:tabs>
        <w:tab w:val="center" w:pos="4419"/>
        <w:tab w:val="right" w:pos="8838"/>
      </w:tabs>
      <w:spacing w:after="0" w:line="240" w:lineRule="auto"/>
      <w:rPr>
        <w:color w:val="000000"/>
      </w:rPr>
    </w:pPr>
    <w:r>
      <w:rPr>
        <w:noProof/>
        <w:color w:val="000000"/>
      </w:rPr>
      <w:drawing>
        <wp:anchor distT="0" distB="0" distL="114300" distR="114300" simplePos="0" relativeHeight="251658240" behindDoc="0" locked="0" layoutInCell="1" hidden="0" allowOverlap="1" wp14:anchorId="0BC6BD35" wp14:editId="07777777">
          <wp:simplePos x="0" y="0"/>
          <wp:positionH relativeFrom="margin">
            <wp:posOffset>5050155</wp:posOffset>
          </wp:positionH>
          <wp:positionV relativeFrom="margin">
            <wp:posOffset>-466703</wp:posOffset>
          </wp:positionV>
          <wp:extent cx="523875" cy="523875"/>
          <wp:effectExtent l="0" t="0" r="0" b="0"/>
          <wp:wrapSquare wrapText="bothSides" distT="0" distB="0" distL="114300" distR="114300"/>
          <wp:docPr id="9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523875" cy="523875"/>
                  </a:xfrm>
                  <a:prstGeom prst="rect">
                    <a:avLst/>
                  </a:prstGeom>
                  <a:ln/>
                </pic:spPr>
              </pic:pic>
            </a:graphicData>
          </a:graphic>
        </wp:anchor>
      </w:drawing>
    </w:r>
    <w:r>
      <w:rPr>
        <w:noProof/>
        <w:color w:val="000000"/>
      </w:rPr>
      <w:drawing>
        <wp:inline distT="0" distB="0" distL="0" distR="0" wp14:anchorId="0975A0F1" wp14:editId="07777777">
          <wp:extent cx="1895475" cy="466725"/>
          <wp:effectExtent l="0" t="0" r="0" b="0"/>
          <wp:docPr id="9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1895475" cy="466725"/>
                  </a:xfrm>
                  <a:prstGeom prst="rect">
                    <a:avLst/>
                  </a:prstGeom>
                  <a:ln/>
                </pic:spPr>
              </pic:pic>
            </a:graphicData>
          </a:graphic>
        </wp:inline>
      </w:drawing>
    </w:r>
    <w:r>
      <w:rPr>
        <w:color w:val="00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B157C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2883243">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7C82"/>
    <w:rsid w:val="0009487B"/>
    <w:rsid w:val="00A87C82"/>
    <w:rsid w:val="00BF7331"/>
    <w:rsid w:val="00C165B7"/>
    <w:rsid w:val="07CA2574"/>
    <w:rsid w:val="1B198365"/>
    <w:rsid w:val="2591DBA5"/>
    <w:rsid w:val="291356AE"/>
    <w:rsid w:val="2F19BFFF"/>
    <w:rsid w:val="32FCC0DE"/>
    <w:rsid w:val="3BE43829"/>
    <w:rsid w:val="3CB9021B"/>
    <w:rsid w:val="3FB24453"/>
    <w:rsid w:val="42C7F8CE"/>
    <w:rsid w:val="4CE11F3F"/>
    <w:rsid w:val="4CE7D0D4"/>
    <w:rsid w:val="4E256F67"/>
    <w:rsid w:val="5AA96D30"/>
    <w:rsid w:val="5CA3A31C"/>
    <w:rsid w:val="61FBABDE"/>
    <w:rsid w:val="76396095"/>
    <w:rsid w:val="776F28B2"/>
    <w:rsid w:val="780FE405"/>
    <w:rsid w:val="7E72CFCE"/>
    <w:rsid w:val="7EADC60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B421CE0"/>
  <w15:docId w15:val="{3ABA9959-0C34-44EF-8064-96EDC0DE8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2"/>
        <w:szCs w:val="22"/>
        <w:lang w:val="es-AR"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Ttulo">
    <w:name w:val="Title"/>
    <w:basedOn w:val="Normal"/>
    <w:next w:val="Normal"/>
    <w:uiPriority w:val="10"/>
    <w:qFormat/>
    <w:pPr>
      <w:keepNext/>
      <w:keepLines/>
      <w:spacing w:before="480" w:after="120"/>
    </w:pPr>
    <w:rPr>
      <w:b/>
      <w:bCs/>
      <w:sz w:val="72"/>
      <w:szCs w:val="72"/>
    </w:rPr>
  </w:style>
  <w:style w:type="table" w:styleId="NormalTable0" w:customStyle="1">
    <w:name w:val="Normal Table0"/>
    <w:uiPriority w:val="99"/>
    <w:semiHidden/>
    <w:unhideWhenUsed/>
    <w:tblPr>
      <w:tblInd w:w="0" w:type="dxa"/>
      <w:tblCellMar>
        <w:top w:w="0" w:type="dxa"/>
        <w:left w:w="108" w:type="dxa"/>
        <w:bottom w:w="0" w:type="dxa"/>
        <w:right w:w="108" w:type="dxa"/>
      </w:tblCellMar>
    </w:tblPr>
  </w:style>
  <w:style w:type="table" w:styleId="TableNormal" w:customStyle="1">
    <w:name w:val="Table Normal"/>
    <w:tblPr>
      <w:tblCellMar>
        <w:top w:w="0" w:type="dxa"/>
        <w:left w:w="0" w:type="dxa"/>
        <w:bottom w:w="0" w:type="dxa"/>
        <w:right w:w="0" w:type="dxa"/>
      </w:tblCellMar>
    </w:tblPr>
  </w:style>
  <w:style w:type="table" w:styleId="TableNormal0" w:customStyle="1">
    <w:name w:val="Table Normal0"/>
    <w:tblPr>
      <w:tblCellMar>
        <w:top w:w="0" w:type="dxa"/>
        <w:left w:w="0" w:type="dxa"/>
        <w:bottom w:w="0" w:type="dxa"/>
        <w:right w:w="0" w:type="dxa"/>
      </w:tblCellMar>
    </w:tblPr>
  </w:style>
  <w:style w:type="table" w:styleId="TableNormal1" w:customStyle="1">
    <w:name w:val="Table Normal1"/>
    <w:tblPr>
      <w:tblCellMar>
        <w:top w:w="0" w:type="dxa"/>
        <w:left w:w="0" w:type="dxa"/>
        <w:bottom w:w="0" w:type="dxa"/>
        <w:right w:w="0" w:type="dxa"/>
      </w:tblCellMar>
    </w:tblPr>
  </w:style>
  <w:style w:type="table" w:styleId="TableNormal2" w:customStyle="1">
    <w:name w:val="Table Normal2"/>
    <w:tblPr>
      <w:tblCellMar>
        <w:top w:w="0" w:type="dxa"/>
        <w:left w:w="0" w:type="dxa"/>
        <w:bottom w:w="0" w:type="dxa"/>
        <w:right w:w="0" w:type="dxa"/>
      </w:tblCellMar>
    </w:tblPr>
  </w:style>
  <w:style w:type="table" w:styleId="TableNormal3" w:customStyle="1">
    <w:name w:val="Table Normal3"/>
    <w:tblPr>
      <w:tblCellMar>
        <w:top w:w="0" w:type="dxa"/>
        <w:left w:w="0" w:type="dxa"/>
        <w:bottom w:w="0" w:type="dxa"/>
        <w:right w:w="0" w:type="dxa"/>
      </w:tblCellMar>
    </w:tblPr>
  </w:style>
  <w:style w:type="table" w:styleId="TableNormal4" w:customStyle="1">
    <w:name w:val="Table Normal4"/>
    <w:tblPr>
      <w:tblCellMar>
        <w:top w:w="0" w:type="dxa"/>
        <w:left w:w="0" w:type="dxa"/>
        <w:bottom w:w="0" w:type="dxa"/>
        <w:right w:w="0" w:type="dxa"/>
      </w:tblCellMar>
    </w:tblPr>
  </w:style>
  <w:style w:type="table" w:styleId="TableNormal5" w:customStyle="1">
    <w:name w:val="Table Normal5"/>
    <w:tblPr>
      <w:tblCellMar>
        <w:top w:w="0" w:type="dxa"/>
        <w:left w:w="0" w:type="dxa"/>
        <w:bottom w:w="0" w:type="dxa"/>
        <w:right w:w="0" w:type="dxa"/>
      </w:tblCellMar>
    </w:tblPr>
  </w:style>
  <w:style w:type="table" w:styleId="TableNormal6" w:customStyle="1">
    <w:name w:val="Table Normal6"/>
    <w:tblPr>
      <w:tblCellMar>
        <w:top w:w="0" w:type="dxa"/>
        <w:left w:w="0" w:type="dxa"/>
        <w:bottom w:w="0" w:type="dxa"/>
        <w:right w:w="0" w:type="dxa"/>
      </w:tblCellMar>
    </w:tblPr>
  </w:style>
  <w:style w:type="table" w:styleId="TableNormal7" w:customStyle="1">
    <w:name w:val="Table Normal7"/>
    <w:tblPr>
      <w:tblCellMar>
        <w:top w:w="0" w:type="dxa"/>
        <w:left w:w="0" w:type="dxa"/>
        <w:bottom w:w="0" w:type="dxa"/>
        <w:right w:w="0" w:type="dxa"/>
      </w:tblCellMar>
    </w:tblPr>
  </w:style>
  <w:style w:type="table" w:styleId="TableNormal8" w:customStyle="1">
    <w:name w:val="Table Normal8"/>
    <w:tblPr>
      <w:tblCellMar>
        <w:top w:w="0" w:type="dxa"/>
        <w:left w:w="0" w:type="dxa"/>
        <w:bottom w:w="0" w:type="dxa"/>
        <w:right w:w="0" w:type="dxa"/>
      </w:tblCellMar>
    </w:tblPr>
  </w:style>
  <w:style w:type="table" w:styleId="TableNormal9" w:customStyle="1">
    <w:name w:val="Table Normal9"/>
    <w:tblPr>
      <w:tblCellMar>
        <w:top w:w="0" w:type="dxa"/>
        <w:left w:w="0" w:type="dxa"/>
        <w:bottom w:w="0" w:type="dxa"/>
        <w:right w:w="0" w:type="dxa"/>
      </w:tblCellMar>
    </w:tblPr>
  </w:style>
  <w:style w:type="table" w:styleId="TableNormal10" w:customStyle="1">
    <w:name w:val="Table Normal10"/>
    <w:tblPr>
      <w:tblCellMar>
        <w:top w:w="0" w:type="dxa"/>
        <w:left w:w="0" w:type="dxa"/>
        <w:bottom w:w="0" w:type="dxa"/>
        <w:right w:w="0" w:type="dxa"/>
      </w:tblCellMar>
    </w:tblPr>
  </w:style>
  <w:style w:type="table" w:styleId="TableNormal11" w:customStyle="1">
    <w:name w:val="Table Normal11"/>
    <w:tblPr>
      <w:tblCellMar>
        <w:top w:w="0" w:type="dxa"/>
        <w:left w:w="0" w:type="dxa"/>
        <w:bottom w:w="0" w:type="dxa"/>
        <w:right w:w="0" w:type="dxa"/>
      </w:tblCellMar>
    </w:tblPr>
  </w:style>
  <w:style w:type="table" w:styleId="TableNormal12" w:customStyle="1">
    <w:name w:val="Table Normal12"/>
    <w:tblPr>
      <w:tblCellMar>
        <w:top w:w="0" w:type="dxa"/>
        <w:left w:w="0" w:type="dxa"/>
        <w:bottom w:w="0" w:type="dxa"/>
        <w:right w:w="0" w:type="dxa"/>
      </w:tblCellMar>
    </w:tblPr>
  </w:style>
  <w:style w:type="table" w:styleId="TableNormal13" w:customStyle="1">
    <w:name w:val="Table Normal13"/>
    <w:tblPr>
      <w:tblCellMar>
        <w:top w:w="0" w:type="dxa"/>
        <w:left w:w="0" w:type="dxa"/>
        <w:bottom w:w="0" w:type="dxa"/>
        <w:right w:w="0" w:type="dxa"/>
      </w:tblCellMar>
    </w:tblPr>
  </w:style>
  <w:style w:type="table" w:styleId="TableNormal14" w:customStyle="1">
    <w:name w:val="Table Normal14"/>
    <w:tblPr>
      <w:tblCellMar>
        <w:top w:w="0" w:type="dxa"/>
        <w:left w:w="0" w:type="dxa"/>
        <w:bottom w:w="0" w:type="dxa"/>
        <w:right w:w="0" w:type="dxa"/>
      </w:tblCellMar>
    </w:tblPr>
  </w:style>
  <w:style w:type="table" w:styleId="TableNormal15" w:customStyle="1">
    <w:name w:val="Table Normal15"/>
    <w:tblPr>
      <w:tblCellMar>
        <w:top w:w="0" w:type="dxa"/>
        <w:left w:w="0" w:type="dxa"/>
        <w:bottom w:w="0" w:type="dxa"/>
        <w:right w:w="0" w:type="dxa"/>
      </w:tblCellMar>
    </w:tblPr>
  </w:style>
  <w:style w:type="paragraph" w:styleId="Encabezado">
    <w:name w:val="header"/>
    <w:basedOn w:val="Normal"/>
    <w:link w:val="EncabezadoCar"/>
    <w:uiPriority w:val="99"/>
    <w:unhideWhenUsed/>
    <w:rsid w:val="001239F8"/>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1239F8"/>
  </w:style>
  <w:style w:type="paragraph" w:styleId="Piedepgina">
    <w:name w:val="footer"/>
    <w:basedOn w:val="Normal"/>
    <w:link w:val="PiedepginaCar"/>
    <w:uiPriority w:val="99"/>
    <w:unhideWhenUsed/>
    <w:rsid w:val="001239F8"/>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1239F8"/>
  </w:style>
  <w:style w:type="paragraph" w:styleId="NormalWeb">
    <w:name w:val="Normal (Web)"/>
    <w:basedOn w:val="Normal"/>
    <w:uiPriority w:val="99"/>
    <w:semiHidden/>
    <w:unhideWhenUsed/>
    <w:rsid w:val="006D28E4"/>
    <w:pPr>
      <w:spacing w:before="100" w:beforeAutospacing="1" w:after="100" w:afterAutospacing="1" w:line="240" w:lineRule="auto"/>
    </w:pPr>
    <w:rPr>
      <w:rFonts w:ascii="Times New Roman" w:hAnsi="Times New Roman" w:eastAsia="Times New Roman" w:cs="Times New Roman"/>
      <w:sz w:val="24"/>
      <w:szCs w:val="24"/>
    </w:rPr>
  </w:style>
  <w:style w:type="character" w:styleId="Hipervnculo">
    <w:name w:val="Hyperlink"/>
    <w:basedOn w:val="Fuentedeprrafopredeter"/>
    <w:uiPriority w:val="99"/>
    <w:unhideWhenUsed/>
    <w:rsid w:val="006D28E4"/>
    <w:rPr>
      <w:color w:val="0563C1" w:themeColor="hyperlink"/>
      <w:u w:val="single"/>
    </w:rPr>
  </w:style>
  <w:style w:type="character" w:styleId="Mencinsinresolver1" w:customStyle="1">
    <w:name w:val="Mención sin resolver1"/>
    <w:basedOn w:val="Fuentedeprrafopredeter"/>
    <w:uiPriority w:val="99"/>
    <w:semiHidden/>
    <w:unhideWhenUsed/>
    <w:rsid w:val="006D28E4"/>
    <w:rPr>
      <w:color w:val="605E5C"/>
      <w:shd w:val="clear" w:color="auto" w:fill="E1DFDD"/>
    </w:rPr>
  </w:style>
  <w:style w:type="paragraph" w:styleId="Textodeglobo">
    <w:name w:val="Balloon Text"/>
    <w:basedOn w:val="Normal"/>
    <w:link w:val="TextodegloboCar"/>
    <w:uiPriority w:val="99"/>
    <w:semiHidden/>
    <w:unhideWhenUsed/>
    <w:rsid w:val="001C3C58"/>
    <w:pPr>
      <w:spacing w:after="0" w:line="240" w:lineRule="auto"/>
    </w:pPr>
    <w:rPr>
      <w:rFonts w:ascii="Tahoma" w:hAnsi="Tahoma" w:cs="Tahoma"/>
      <w:sz w:val="16"/>
      <w:szCs w:val="16"/>
    </w:rPr>
  </w:style>
  <w:style w:type="character" w:styleId="TextodegloboCar" w:customStyle="1">
    <w:name w:val="Texto de globo Car"/>
    <w:basedOn w:val="Fuentedeprrafopredeter"/>
    <w:link w:val="Textodeglobo"/>
    <w:uiPriority w:val="99"/>
    <w:semiHidden/>
    <w:rsid w:val="001C3C58"/>
    <w:rPr>
      <w:rFonts w:ascii="Tahoma" w:hAnsi="Tahoma" w:cs="Tahoma"/>
      <w:sz w:val="16"/>
      <w:szCs w:val="16"/>
    </w:rPr>
  </w:style>
  <w:style w:type="paragraph" w:styleId="Prrafodelista">
    <w:name w:val="List Paragraph"/>
    <w:basedOn w:val="Normal"/>
    <w:uiPriority w:val="34"/>
    <w:qFormat/>
    <w:rsid w:val="007A10A5"/>
    <w:pPr>
      <w:ind w:left="720"/>
      <w:contextualSpacing/>
    </w:pPr>
  </w:style>
  <w:style w:type="character" w:styleId="Mencinsinresolver">
    <w:name w:val="Unresolved Mention"/>
    <w:basedOn w:val="Fuentedeprrafopredeter"/>
    <w:uiPriority w:val="99"/>
    <w:semiHidden/>
    <w:unhideWhenUsed/>
    <w:rsid w:val="004F111D"/>
    <w:rPr>
      <w:color w:val="605E5C"/>
      <w:shd w:val="clear" w:color="auto" w:fill="E1DFDD"/>
    </w:rPr>
  </w:style>
  <w:style w:type="table" w:styleId="a" w:customStyle="1">
    <w:basedOn w:val="TableNormal14"/>
    <w:tblPr>
      <w:tblStyleRowBandSize w:val="1"/>
      <w:tblStyleColBandSize w:val="1"/>
      <w:tblCellMar>
        <w:left w:w="70" w:type="dxa"/>
        <w:right w:w="70" w:type="dxa"/>
      </w:tblCellMar>
    </w:tblPr>
  </w:style>
  <w:style w:type="table" w:styleId="a0" w:customStyle="1">
    <w:basedOn w:val="TableNormal14"/>
    <w:tblPr>
      <w:tblStyleRowBandSize w:val="1"/>
      <w:tblStyleColBandSize w:val="1"/>
      <w:tblCellMar>
        <w:left w:w="70" w:type="dxa"/>
        <w:right w:w="70" w:type="dxa"/>
      </w:tblCellMar>
    </w:tblPr>
  </w:style>
  <w:style w:type="table" w:styleId="a1" w:customStyle="1">
    <w:basedOn w:val="TableNormal14"/>
    <w:tblPr>
      <w:tblStyleRowBandSize w:val="1"/>
      <w:tblStyleColBandSize w:val="1"/>
      <w:tblCellMar>
        <w:left w:w="70" w:type="dxa"/>
        <w:right w:w="70" w:type="dxa"/>
      </w:tblCellMar>
    </w:tblPr>
  </w:style>
  <w:style w:type="paragraph" w:styleId="Subttulo">
    <w:name w:val="Subtitle"/>
    <w:basedOn w:val="Normal"/>
    <w:next w:val="Normal"/>
    <w:uiPriority w:val="11"/>
    <w:qFormat/>
    <w:pPr>
      <w:keepNext/>
      <w:keepLines/>
      <w:spacing w:before="360" w:after="80"/>
    </w:pPr>
    <w:rPr>
      <w:rFonts w:ascii="Georgia" w:hAnsi="Georgia" w:eastAsia="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image" Target="media/image6.png" Id="rId13" /><Relationship Type="http://schemas.openxmlformats.org/officeDocument/2006/relationships/image" Target="media/image11.png" Id="rId18" /><Relationship Type="http://schemas.openxmlformats.org/officeDocument/2006/relationships/styles" Target="styles.xml" Id="rId3" /><Relationship Type="http://schemas.openxmlformats.org/officeDocument/2006/relationships/header" Target="header1.xml" Id="rId21" /><Relationship Type="http://schemas.openxmlformats.org/officeDocument/2006/relationships/endnotes" Target="endnotes.xml" Id="rId7" /><Relationship Type="http://schemas.openxmlformats.org/officeDocument/2006/relationships/image" Target="media/image5.png" Id="rId12" /><Relationship Type="http://schemas.openxmlformats.org/officeDocument/2006/relationships/image" Target="media/image10.png" Id="rId17" /><Relationship Type="http://schemas.openxmlformats.org/officeDocument/2006/relationships/numbering" Target="numbering.xml" Id="rId2" /><Relationship Type="http://schemas.openxmlformats.org/officeDocument/2006/relationships/image" Target="media/image9.png" Id="rId16" /><Relationship Type="http://schemas.openxmlformats.org/officeDocument/2006/relationships/hyperlink" Target="https://www.adecco.com/es-ar" TargetMode="Externa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4.png" Id="rId11" /><Relationship Type="http://schemas.openxmlformats.org/officeDocument/2006/relationships/theme" Target="theme/theme1.xml" Id="rId24" /><Relationship Type="http://schemas.openxmlformats.org/officeDocument/2006/relationships/webSettings" Target="webSettings.xml" Id="rId5" /><Relationship Type="http://schemas.openxmlformats.org/officeDocument/2006/relationships/image" Target="media/image8.png" Id="rId15" /><Relationship Type="http://schemas.openxmlformats.org/officeDocument/2006/relationships/fontTable" Target="fontTable.xml" Id="rId23" /><Relationship Type="http://schemas.openxmlformats.org/officeDocument/2006/relationships/image" Target="media/image3.png" Id="rId10" /><Relationship Type="http://schemas.openxmlformats.org/officeDocument/2006/relationships/image" Target="media/image12.png" Id="rId19"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image" Target="media/image7.png" Id="rId14" /><Relationship Type="http://schemas.openxmlformats.org/officeDocument/2006/relationships/footer" Target="footer1.xml" Id="rId22" /><Relationship Type="http://schemas.microsoft.com/office/2011/relationships/people" Target="people.xml" Id="R17d6ce379a844bfc" /><Relationship Type="http://schemas.microsoft.com/office/2011/relationships/commentsExtended" Target="commentsExtended.xml" Id="Rd0370784993f4300" /><Relationship Type="http://schemas.microsoft.com/office/2016/09/relationships/commentsIds" Target="commentsIds.xml" Id="R2fe0c4eeb62c4e07"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14.png"/><Relationship Id="rId1" Type="http://schemas.openxmlformats.org/officeDocument/2006/relationships/image" Target="media/image13.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KbLtK7532McaQMHl5VSYzdvGIQ==">CgMxLjA4AHIhMU11Q2h3NmVLSUJxcTBYTGNydE84ZWI4UFREYUlnZGww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Majo</dc:creator>
  <lastModifiedBy>Agustina Van Der Tuin</lastModifiedBy>
  <revision>4</revision>
  <dcterms:created xsi:type="dcterms:W3CDTF">2026-01-06T18:48:00.0000000Z</dcterms:created>
  <dcterms:modified xsi:type="dcterms:W3CDTF">2026-01-20T15:41:14.4542821Z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0x010100CED842246DD5BB42A09CE6D21D9CCEF3</vt:lpwstr>
  </property>
  <property fmtid="{D5CDD505-2E9C-101B-9397-08002B2CF9AE}" pid="3" name="GrammarlyDocumentId">
    <vt:lpwstr>e0caa5ae7947903b14c7e5bf8b7f1cc765201b2a511d6d45100517531de4514b</vt:lpwstr>
  </property>
</Properties>
</file>